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2.xml" ContentType="application/vnd.openxmlformats-officedocument.drawingml.chartshapes+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chart5.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6.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7.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11.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12.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3.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4.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5.xml" ContentType="application/vnd.openxmlformats-officedocument.drawingml.chart+xml"/>
  <Override PartName="/word/charts/style12.xml" ContentType="application/vnd.ms-office.chartstyle+xml"/>
  <Override PartName="/word/charts/colors1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20780" w14:textId="04777395" w:rsidR="00674DB9" w:rsidRPr="00172E6E" w:rsidRDefault="00507252" w:rsidP="00172E6E">
      <w:pPr>
        <w:pStyle w:val="Title"/>
        <w:rPr>
          <w:rStyle w:val="TitleChar"/>
          <w:b/>
          <w:bCs/>
          <w:caps/>
          <w:sz w:val="40"/>
          <w:szCs w:val="40"/>
        </w:rPr>
      </w:pPr>
      <w:bookmarkStart w:id="0" w:name="_Toc125126361"/>
      <w:r w:rsidRPr="00172E6E">
        <w:rPr>
          <w:rStyle w:val="TitleChar"/>
          <w:b/>
          <w:bCs/>
          <w:caps/>
          <w:sz w:val="40"/>
          <w:szCs w:val="40"/>
        </w:rPr>
        <w:t xml:space="preserve">Incidence analysis of direct fiscal interventions </w:t>
      </w:r>
      <w:r w:rsidR="00CA3EC4" w:rsidRPr="00172E6E">
        <w:rPr>
          <w:rStyle w:val="TitleChar"/>
          <w:b/>
          <w:bCs/>
          <w:caps/>
          <w:sz w:val="40"/>
          <w:szCs w:val="40"/>
        </w:rPr>
        <w:t>on gender-relevant typology of households</w:t>
      </w:r>
      <w:r w:rsidR="00D05B6D" w:rsidRPr="00172E6E">
        <w:rPr>
          <w:rStyle w:val="TitleChar"/>
          <w:b/>
          <w:bCs/>
          <w:caps/>
          <w:sz w:val="40"/>
          <w:szCs w:val="40"/>
        </w:rPr>
        <w:t xml:space="preserve"> in</w:t>
      </w:r>
      <w:r w:rsidR="0071705B" w:rsidRPr="00172E6E">
        <w:rPr>
          <w:rStyle w:val="TitleChar"/>
          <w:b/>
          <w:bCs/>
          <w:caps/>
          <w:sz w:val="40"/>
          <w:szCs w:val="40"/>
        </w:rPr>
        <w:t xml:space="preserve"> Uruguay</w:t>
      </w:r>
      <w:r w:rsidR="00700A15" w:rsidRPr="00172E6E">
        <w:rPr>
          <w:rStyle w:val="FootnoteReference"/>
          <w:sz w:val="40"/>
          <w:szCs w:val="40"/>
        </w:rPr>
        <w:footnoteReference w:id="2"/>
      </w:r>
      <w:bookmarkEnd w:id="0"/>
    </w:p>
    <w:p w14:paraId="7599D51F" w14:textId="77777777" w:rsidR="00172E6E" w:rsidRPr="00172E6E" w:rsidRDefault="00172E6E" w:rsidP="00172E6E"/>
    <w:p w14:paraId="1024B6BD" w14:textId="4EDF34EB" w:rsidR="006A5BA3" w:rsidRDefault="00E24A00" w:rsidP="006A5BA3">
      <w:pPr>
        <w:jc w:val="center"/>
      </w:pPr>
      <w:r>
        <w:t>May</w:t>
      </w:r>
      <w:r w:rsidR="003C24E1">
        <w:t xml:space="preserve"> 17</w:t>
      </w:r>
      <w:r w:rsidR="00476ED7">
        <w:t>, 2023</w:t>
      </w:r>
    </w:p>
    <w:p w14:paraId="67D7387F" w14:textId="48CAF44E" w:rsidR="00806CAC" w:rsidRDefault="006B6BE3" w:rsidP="00765C03">
      <w:pPr>
        <w:jc w:val="center"/>
      </w:pPr>
      <w:r>
        <w:t>DO NOT DISTRIBUTE</w:t>
      </w:r>
    </w:p>
    <w:p w14:paraId="223F7AEB" w14:textId="01159561" w:rsidR="00FA5172" w:rsidRDefault="00BE63FE" w:rsidP="000B5066">
      <w:pPr>
        <w:pStyle w:val="Heading1"/>
        <w:jc w:val="center"/>
      </w:pPr>
      <w:bookmarkStart w:id="1" w:name="_Toc136425139"/>
      <w:r>
        <w:t>ABSTRACT</w:t>
      </w:r>
      <w:bookmarkEnd w:id="1"/>
    </w:p>
    <w:p w14:paraId="053508B8" w14:textId="7CE6C3E9" w:rsidR="00792DFE" w:rsidRPr="002D26B9" w:rsidRDefault="001C0DA1" w:rsidP="00792DFE">
      <w:pPr>
        <w:rPr>
          <w:b/>
          <w:bCs/>
        </w:rPr>
      </w:pPr>
      <w:r>
        <w:t xml:space="preserve">This study extends the standard </w:t>
      </w:r>
      <w:r w:rsidR="008A66AE">
        <w:t xml:space="preserve">distributive analysis of fiscal policies </w:t>
      </w:r>
      <w:r w:rsidR="00610F80">
        <w:t xml:space="preserve">to </w:t>
      </w:r>
      <w:r w:rsidR="00671F3B">
        <w:t>include</w:t>
      </w:r>
      <w:r w:rsidR="00A22ED6">
        <w:t xml:space="preserve"> intra-household </w:t>
      </w:r>
      <w:r w:rsidR="00671F3B">
        <w:t>demographic and economic composition</w:t>
      </w:r>
      <w:r w:rsidR="00A22ED6">
        <w:t xml:space="preserve"> to understand </w:t>
      </w:r>
      <w:r w:rsidR="001F296B">
        <w:t>the effects of direct fiscal interventions on</w:t>
      </w:r>
      <w:r w:rsidR="00CE37E8">
        <w:t xml:space="preserve"> gender-relevant typologies of households in Uruguay. </w:t>
      </w:r>
      <w:r w:rsidR="00AB0B2D" w:rsidRPr="00360157">
        <w:t>Applying the Commitment to Equity (CE</w:t>
      </w:r>
      <w:r w:rsidR="00DA1ED2" w:rsidRPr="00360157">
        <w:t>Q</w:t>
      </w:r>
      <w:r w:rsidR="00AB0B2D" w:rsidRPr="00360157">
        <w:t xml:space="preserve">) </w:t>
      </w:r>
      <w:r w:rsidR="000003E4" w:rsidRPr="00360157">
        <w:t>approach</w:t>
      </w:r>
      <w:r w:rsidR="00AB0B2D" w:rsidRPr="00360157">
        <w:t>,</w:t>
      </w:r>
      <w:r w:rsidR="00681BFB" w:rsidRPr="00360157">
        <w:t xml:space="preserve"> and including simulation capacities to the analysis, we estimate the distributive incidence </w:t>
      </w:r>
      <w:r w:rsidR="00DA0D1E" w:rsidRPr="00360157">
        <w:t xml:space="preserve">of the fiscal system </w:t>
      </w:r>
      <w:r w:rsidR="006F4AA6" w:rsidRPr="00360157">
        <w:t>for household typologies constructed based on demographic characteristics and economic participation of men and women</w:t>
      </w:r>
      <w:r w:rsidR="00DA0D1E" w:rsidRPr="00360157">
        <w:t xml:space="preserve"> in Uruguay.</w:t>
      </w:r>
      <w:r w:rsidR="00172E6E" w:rsidRPr="00360157">
        <w:t xml:space="preserve"> Households</w:t>
      </w:r>
      <w:r w:rsidR="00172E6E">
        <w:t xml:space="preserve"> where men and women contribute equally to household’s labor income account for about 7 percent of the total, even though in 36 percent of households in the country both men and women work. </w:t>
      </w:r>
      <w:r w:rsidR="00172E6E" w:rsidRPr="003A6FA1">
        <w:t>Hou</w:t>
      </w:r>
      <w:r w:rsidR="00172E6E" w:rsidRPr="003F34FA">
        <w:t xml:space="preserve">seholds </w:t>
      </w:r>
      <w:r w:rsidR="00172E6E" w:rsidRPr="00E21AF1">
        <w:t>where women</w:t>
      </w:r>
      <w:r w:rsidR="00172E6E" w:rsidRPr="00AE784A">
        <w:t xml:space="preserve"> are the main </w:t>
      </w:r>
      <w:r w:rsidR="00172E6E" w:rsidRPr="00935342">
        <w:t xml:space="preserve">income earners </w:t>
      </w:r>
      <w:r w:rsidR="00172E6E" w:rsidRPr="003A6FA1">
        <w:t>are slightly more likely to be</w:t>
      </w:r>
      <w:r w:rsidR="00172E6E" w:rsidRPr="00935342">
        <w:t xml:space="preserve"> poor</w:t>
      </w:r>
      <w:r w:rsidR="00172E6E" w:rsidRPr="003A6FA1">
        <w:t xml:space="preserve"> (</w:t>
      </w:r>
      <w:r w:rsidR="00172E6E">
        <w:t>6.1</w:t>
      </w:r>
      <w:r w:rsidR="00172E6E" w:rsidRPr="003A6FA1">
        <w:t xml:space="preserve"> percent) than those where men are the main earners (</w:t>
      </w:r>
      <w:r w:rsidR="00172E6E">
        <w:t>5.5</w:t>
      </w:r>
      <w:r w:rsidR="00172E6E" w:rsidRPr="003A6FA1">
        <w:t xml:space="preserve"> percent).</w:t>
      </w:r>
      <w:r w:rsidR="00172E6E">
        <w:t xml:space="preserve"> Nevertheless, poverty seems to be more related to the number of working household members than to the gender and earnings-share of those members. Households</w:t>
      </w:r>
      <w:r w:rsidR="00172E6E" w:rsidRPr="003F2DC0">
        <w:t xml:space="preserve"> </w:t>
      </w:r>
      <w:r w:rsidR="00172E6E">
        <w:t>in which</w:t>
      </w:r>
      <w:r w:rsidR="00172E6E" w:rsidRPr="003F2DC0">
        <w:t xml:space="preserve"> labor income is provided by only one gender (either male or female),</w:t>
      </w:r>
      <w:r w:rsidR="00172E6E">
        <w:t xml:space="preserve"> tend to be poorer (7.4 percent) than those where both men and women contribute to household’s income (3.1 percent), regardless of their earnings share (female-dominated dual-earners, male-dominated dual-earners, and equal-earners).</w:t>
      </w:r>
      <w:r w:rsidR="00DA0D1E">
        <w:t xml:space="preserve"> </w:t>
      </w:r>
      <w:r w:rsidR="00C76715">
        <w:t xml:space="preserve">We find that </w:t>
      </w:r>
      <w:proofErr w:type="gramStart"/>
      <w:r w:rsidR="00C76715">
        <w:t>controlling for</w:t>
      </w:r>
      <w:proofErr w:type="gramEnd"/>
      <w:r w:rsidR="00B75918" w:rsidRPr="00A14930">
        <w:t xml:space="preserve"> pre-fiscal income </w:t>
      </w:r>
      <w:r w:rsidR="00B75918" w:rsidRPr="00FF0A1F">
        <w:t xml:space="preserve">the </w:t>
      </w:r>
      <w:r w:rsidR="00B75918">
        <w:t>tax</w:t>
      </w:r>
      <w:r w:rsidR="00B75918" w:rsidRPr="00FF0A1F">
        <w:t>-to-income ratio is lower when the number of earners is larger.</w:t>
      </w:r>
      <w:r w:rsidR="00B75918">
        <w:t xml:space="preserve"> This is explained by the combination of progressive marginal tax rates and an individual filing system. Dual-earner households benefit twice from the lower tax thresholds and move into higher tax brackets only at higher levels of total household income</w:t>
      </w:r>
      <w:r w:rsidR="00792DFE">
        <w:t xml:space="preserve">, </w:t>
      </w:r>
      <w:r w:rsidR="00B75918">
        <w:t>suggest</w:t>
      </w:r>
      <w:r w:rsidR="00792DFE">
        <w:t>ing</w:t>
      </w:r>
      <w:r w:rsidR="00B75918">
        <w:t xml:space="preserve"> that income taxes do not discourage labor market participation of a second earner given that it is not implicitly taxed at higher rates. </w:t>
      </w:r>
      <w:r w:rsidR="00792DFE">
        <w:t>We find that</w:t>
      </w:r>
      <w:r w:rsidR="00B75918">
        <w:t xml:space="preserve"> the burden of direct taxes and contributions is larger for households with children than for those without children</w:t>
      </w:r>
      <w:r w:rsidR="00792DFE">
        <w:t xml:space="preserve">, and </w:t>
      </w:r>
      <w:r w:rsidR="00B75918">
        <w:t>female single-parent households bear a lower tax burden than dual-earner households</w:t>
      </w:r>
      <w:r w:rsidR="00B75918" w:rsidRPr="00E71C02">
        <w:t xml:space="preserve">. </w:t>
      </w:r>
      <w:r w:rsidR="00B75918">
        <w:t xml:space="preserve">However, this pattern </w:t>
      </w:r>
      <w:r w:rsidR="00792DFE">
        <w:t>may be</w:t>
      </w:r>
      <w:r w:rsidR="00B75918">
        <w:t xml:space="preserve"> partly explained by non-desirable aspects such as higher levels of labor informality and participation of non-taxable sources of income (e.g., alimony) among female single-parent households.</w:t>
      </w:r>
      <w:r w:rsidR="00792DFE">
        <w:t xml:space="preserve"> </w:t>
      </w:r>
      <w:r w:rsidR="00172E6E">
        <w:t>The incidence analysis contrasted under a simulated scenario of higher female labor force participation provides relevant inputs for cost-benefit considerations of policies to alleviate barriers to women’s participation in paid work. A</w:t>
      </w:r>
      <w:r w:rsidR="00990B32">
        <w:t xml:space="preserve"> simulated exogenous </w:t>
      </w:r>
      <w:r w:rsidR="00172E6E">
        <w:t>entry to the labor market</w:t>
      </w:r>
      <w:r w:rsidR="00990B32">
        <w:t xml:space="preserve"> </w:t>
      </w:r>
      <w:r w:rsidR="00172E6E">
        <w:t xml:space="preserve">of </w:t>
      </w:r>
      <w:r w:rsidR="00990B32">
        <w:t xml:space="preserve">women </w:t>
      </w:r>
      <w:r w:rsidR="008B5D99">
        <w:t xml:space="preserve">with the highest probabilities of being employed </w:t>
      </w:r>
      <w:r w:rsidR="00792DFE">
        <w:t xml:space="preserve">decreases </w:t>
      </w:r>
      <w:r w:rsidR="00B1560D">
        <w:t xml:space="preserve">poverty </w:t>
      </w:r>
      <w:r w:rsidR="00792DFE">
        <w:t xml:space="preserve">by 8.4 percentage points among households </w:t>
      </w:r>
      <w:r w:rsidR="00B1560D">
        <w:t>directly impacted</w:t>
      </w:r>
      <w:r w:rsidR="007D6C60">
        <w:t xml:space="preserve"> and implies higher progressivity of the direct fiscal system.</w:t>
      </w:r>
      <w:r w:rsidR="00B1560D">
        <w:t xml:space="preserve"> </w:t>
      </w:r>
      <w:r w:rsidR="007D6C60">
        <w:t>O</w:t>
      </w:r>
      <w:r w:rsidR="00B1560D">
        <w:t xml:space="preserve">verall </w:t>
      </w:r>
      <w:r w:rsidR="00792DFE">
        <w:t>poverty and inequality decrease modestly by 0.2 percentage points and 0.1 Gini points, respectively.</w:t>
      </w:r>
    </w:p>
    <w:p w14:paraId="0E100289" w14:textId="25F12A50" w:rsidR="001C0DA1" w:rsidRPr="002B71DD" w:rsidRDefault="001C0DA1" w:rsidP="001C0DA1">
      <w:pPr>
        <w:spacing w:after="120" w:line="276" w:lineRule="auto"/>
        <w:rPr>
          <w:rFonts w:ascii="Calibri Light" w:hAnsi="Calibri Light" w:cs="Calibri Light"/>
          <w:b/>
          <w:bCs/>
        </w:rPr>
      </w:pPr>
    </w:p>
    <w:p w14:paraId="77F506BA" w14:textId="77777777" w:rsidR="001C0DA1" w:rsidRDefault="001C0DA1" w:rsidP="000B5066"/>
    <w:p w14:paraId="4C5E1DE1" w14:textId="329F1B42" w:rsidR="00603E8D" w:rsidRDefault="00603E8D" w:rsidP="000B5066"/>
    <w:p w14:paraId="1CE5718B" w14:textId="2941AEAD" w:rsidR="00603E8D" w:rsidRDefault="00603E8D" w:rsidP="000B5066"/>
    <w:p w14:paraId="57D6D9C5" w14:textId="686D39E0" w:rsidR="00603E8D" w:rsidRDefault="00603E8D" w:rsidP="000B5066"/>
    <w:p w14:paraId="18FF4A3A" w14:textId="77777777" w:rsidR="00D8772D" w:rsidRDefault="00D8772D" w:rsidP="002F03F3"/>
    <w:p w14:paraId="2A45F19E" w14:textId="77777777" w:rsidR="00806CAC" w:rsidRPr="002F03F3" w:rsidRDefault="00806CAC" w:rsidP="002F03F3"/>
    <w:sdt>
      <w:sdtPr>
        <w:rPr>
          <w:rFonts w:asciiTheme="minorHAnsi" w:eastAsiaTheme="minorEastAsia" w:hAnsiTheme="minorHAnsi" w:cstheme="minorBidi"/>
          <w:b w:val="0"/>
          <w:bCs w:val="0"/>
          <w:caps w:val="0"/>
          <w:spacing w:val="0"/>
          <w:sz w:val="22"/>
          <w:szCs w:val="22"/>
        </w:rPr>
        <w:id w:val="-1269242204"/>
        <w:docPartObj>
          <w:docPartGallery w:val="Table of Contents"/>
          <w:docPartUnique/>
        </w:docPartObj>
      </w:sdtPr>
      <w:sdtEndPr>
        <w:rPr>
          <w:noProof/>
        </w:rPr>
      </w:sdtEndPr>
      <w:sdtContent>
        <w:p w14:paraId="4FCF171A" w14:textId="4C39A2EE" w:rsidR="00485764" w:rsidRDefault="00485764">
          <w:pPr>
            <w:pStyle w:val="TOCHeading"/>
          </w:pPr>
          <w:r>
            <w:t>Contents</w:t>
          </w:r>
        </w:p>
        <w:p w14:paraId="299F8C88" w14:textId="7353B23D" w:rsidR="009C30E6" w:rsidRDefault="00485764">
          <w:pPr>
            <w:pStyle w:val="TOC1"/>
            <w:tabs>
              <w:tab w:val="right" w:leader="dot" w:pos="9350"/>
            </w:tabs>
            <w:rPr>
              <w:noProof/>
            </w:rPr>
          </w:pPr>
          <w:r>
            <w:fldChar w:fldCharType="begin"/>
          </w:r>
          <w:r>
            <w:instrText xml:space="preserve"> TOC \o "1-3" \h \z \u </w:instrText>
          </w:r>
          <w:r>
            <w:fldChar w:fldCharType="separate"/>
          </w:r>
          <w:hyperlink w:anchor="_Toc136425139" w:history="1">
            <w:r w:rsidR="009C30E6" w:rsidRPr="00F92E82">
              <w:rPr>
                <w:rStyle w:val="Hyperlink"/>
                <w:noProof/>
              </w:rPr>
              <w:t>ABSTRACT</w:t>
            </w:r>
            <w:r w:rsidR="009C30E6">
              <w:rPr>
                <w:noProof/>
                <w:webHidden/>
              </w:rPr>
              <w:tab/>
            </w:r>
            <w:r w:rsidR="009C30E6">
              <w:rPr>
                <w:noProof/>
                <w:webHidden/>
              </w:rPr>
              <w:fldChar w:fldCharType="begin"/>
            </w:r>
            <w:r w:rsidR="009C30E6">
              <w:rPr>
                <w:noProof/>
                <w:webHidden/>
              </w:rPr>
              <w:instrText xml:space="preserve"> PAGEREF _Toc136425139 \h </w:instrText>
            </w:r>
            <w:r w:rsidR="009C30E6">
              <w:rPr>
                <w:noProof/>
                <w:webHidden/>
              </w:rPr>
            </w:r>
            <w:r w:rsidR="009C30E6">
              <w:rPr>
                <w:noProof/>
                <w:webHidden/>
              </w:rPr>
              <w:fldChar w:fldCharType="separate"/>
            </w:r>
            <w:r w:rsidR="009C30E6">
              <w:rPr>
                <w:noProof/>
                <w:webHidden/>
              </w:rPr>
              <w:t>1</w:t>
            </w:r>
            <w:r w:rsidR="009C30E6">
              <w:rPr>
                <w:noProof/>
                <w:webHidden/>
              </w:rPr>
              <w:fldChar w:fldCharType="end"/>
            </w:r>
          </w:hyperlink>
        </w:p>
        <w:p w14:paraId="68DF10A6" w14:textId="3A9BECBB" w:rsidR="009C30E6" w:rsidRDefault="009C30E6">
          <w:pPr>
            <w:pStyle w:val="TOC2"/>
            <w:tabs>
              <w:tab w:val="left" w:pos="660"/>
            </w:tabs>
            <w:rPr>
              <w:noProof/>
            </w:rPr>
          </w:pPr>
          <w:hyperlink w:anchor="_Toc136425140" w:history="1">
            <w:r w:rsidRPr="00F92E82">
              <w:rPr>
                <w:rStyle w:val="Hyperlink"/>
                <w:noProof/>
              </w:rPr>
              <w:t>1.</w:t>
            </w:r>
            <w:r>
              <w:rPr>
                <w:noProof/>
              </w:rPr>
              <w:tab/>
            </w:r>
            <w:r w:rsidRPr="00F92E82">
              <w:rPr>
                <w:rStyle w:val="Hyperlink"/>
                <w:noProof/>
              </w:rPr>
              <w:t>Introduction</w:t>
            </w:r>
            <w:r>
              <w:rPr>
                <w:noProof/>
                <w:webHidden/>
              </w:rPr>
              <w:tab/>
            </w:r>
            <w:r>
              <w:rPr>
                <w:noProof/>
                <w:webHidden/>
              </w:rPr>
              <w:fldChar w:fldCharType="begin"/>
            </w:r>
            <w:r>
              <w:rPr>
                <w:noProof/>
                <w:webHidden/>
              </w:rPr>
              <w:instrText xml:space="preserve"> PAGEREF _Toc136425140 \h </w:instrText>
            </w:r>
            <w:r>
              <w:rPr>
                <w:noProof/>
                <w:webHidden/>
              </w:rPr>
            </w:r>
            <w:r>
              <w:rPr>
                <w:noProof/>
                <w:webHidden/>
              </w:rPr>
              <w:fldChar w:fldCharType="separate"/>
            </w:r>
            <w:r>
              <w:rPr>
                <w:noProof/>
                <w:webHidden/>
              </w:rPr>
              <w:t>3</w:t>
            </w:r>
            <w:r>
              <w:rPr>
                <w:noProof/>
                <w:webHidden/>
              </w:rPr>
              <w:fldChar w:fldCharType="end"/>
            </w:r>
          </w:hyperlink>
        </w:p>
        <w:p w14:paraId="508EA8F0" w14:textId="1E9D9B01" w:rsidR="009C30E6" w:rsidRDefault="009C30E6">
          <w:pPr>
            <w:pStyle w:val="TOC2"/>
            <w:tabs>
              <w:tab w:val="left" w:pos="660"/>
            </w:tabs>
            <w:rPr>
              <w:noProof/>
            </w:rPr>
          </w:pPr>
          <w:hyperlink w:anchor="_Toc136425141" w:history="1">
            <w:r w:rsidRPr="00F92E82">
              <w:rPr>
                <w:rStyle w:val="Hyperlink"/>
                <w:noProof/>
              </w:rPr>
              <w:t>2.</w:t>
            </w:r>
            <w:r>
              <w:rPr>
                <w:noProof/>
              </w:rPr>
              <w:tab/>
            </w:r>
            <w:r w:rsidRPr="00F92E82">
              <w:rPr>
                <w:rStyle w:val="Hyperlink"/>
                <w:noProof/>
              </w:rPr>
              <w:t>Standard distributive impact of the fiscal system in Uruguay</w:t>
            </w:r>
            <w:r>
              <w:rPr>
                <w:noProof/>
                <w:webHidden/>
              </w:rPr>
              <w:tab/>
            </w:r>
            <w:r>
              <w:rPr>
                <w:noProof/>
                <w:webHidden/>
              </w:rPr>
              <w:fldChar w:fldCharType="begin"/>
            </w:r>
            <w:r>
              <w:rPr>
                <w:noProof/>
                <w:webHidden/>
              </w:rPr>
              <w:instrText xml:space="preserve"> PAGEREF _Toc136425141 \h </w:instrText>
            </w:r>
            <w:r>
              <w:rPr>
                <w:noProof/>
                <w:webHidden/>
              </w:rPr>
            </w:r>
            <w:r>
              <w:rPr>
                <w:noProof/>
                <w:webHidden/>
              </w:rPr>
              <w:fldChar w:fldCharType="separate"/>
            </w:r>
            <w:r>
              <w:rPr>
                <w:noProof/>
                <w:webHidden/>
              </w:rPr>
              <w:t>4</w:t>
            </w:r>
            <w:r>
              <w:rPr>
                <w:noProof/>
                <w:webHidden/>
              </w:rPr>
              <w:fldChar w:fldCharType="end"/>
            </w:r>
          </w:hyperlink>
        </w:p>
        <w:p w14:paraId="0BF3E9F7" w14:textId="53906A03" w:rsidR="009C30E6" w:rsidRDefault="009C30E6">
          <w:pPr>
            <w:pStyle w:val="TOC2"/>
            <w:tabs>
              <w:tab w:val="left" w:pos="660"/>
            </w:tabs>
            <w:rPr>
              <w:noProof/>
            </w:rPr>
          </w:pPr>
          <w:hyperlink w:anchor="_Toc136425142" w:history="1">
            <w:r w:rsidRPr="00F92E82">
              <w:rPr>
                <w:rStyle w:val="Hyperlink"/>
                <w:noProof/>
              </w:rPr>
              <w:t>3.</w:t>
            </w:r>
            <w:r>
              <w:rPr>
                <w:noProof/>
              </w:rPr>
              <w:tab/>
            </w:r>
            <w:r w:rsidRPr="00F92E82">
              <w:rPr>
                <w:rStyle w:val="Hyperlink"/>
                <w:noProof/>
              </w:rPr>
              <w:t>Gender gaps in economic participation</w:t>
            </w:r>
            <w:r>
              <w:rPr>
                <w:noProof/>
                <w:webHidden/>
              </w:rPr>
              <w:tab/>
            </w:r>
            <w:r>
              <w:rPr>
                <w:noProof/>
                <w:webHidden/>
              </w:rPr>
              <w:fldChar w:fldCharType="begin"/>
            </w:r>
            <w:r>
              <w:rPr>
                <w:noProof/>
                <w:webHidden/>
              </w:rPr>
              <w:instrText xml:space="preserve"> PAGEREF _Toc136425142 \h </w:instrText>
            </w:r>
            <w:r>
              <w:rPr>
                <w:noProof/>
                <w:webHidden/>
              </w:rPr>
            </w:r>
            <w:r>
              <w:rPr>
                <w:noProof/>
                <w:webHidden/>
              </w:rPr>
              <w:fldChar w:fldCharType="separate"/>
            </w:r>
            <w:r>
              <w:rPr>
                <w:noProof/>
                <w:webHidden/>
              </w:rPr>
              <w:t>6</w:t>
            </w:r>
            <w:r>
              <w:rPr>
                <w:noProof/>
                <w:webHidden/>
              </w:rPr>
              <w:fldChar w:fldCharType="end"/>
            </w:r>
          </w:hyperlink>
        </w:p>
        <w:p w14:paraId="276355FD" w14:textId="2213F48B" w:rsidR="009C30E6" w:rsidRDefault="009C30E6">
          <w:pPr>
            <w:pStyle w:val="TOC2"/>
            <w:tabs>
              <w:tab w:val="left" w:pos="660"/>
            </w:tabs>
            <w:rPr>
              <w:noProof/>
            </w:rPr>
          </w:pPr>
          <w:hyperlink w:anchor="_Toc136425143" w:history="1">
            <w:r w:rsidRPr="00F92E82">
              <w:rPr>
                <w:rStyle w:val="Hyperlink"/>
                <w:noProof/>
              </w:rPr>
              <w:t>4.</w:t>
            </w:r>
            <w:r>
              <w:rPr>
                <w:noProof/>
              </w:rPr>
              <w:tab/>
            </w:r>
            <w:r w:rsidRPr="00F92E82">
              <w:rPr>
                <w:rStyle w:val="Hyperlink"/>
                <w:noProof/>
              </w:rPr>
              <w:t>Incidence analysis of direct fiscal interventions on households with different gender-relevant composition</w:t>
            </w:r>
            <w:r>
              <w:rPr>
                <w:noProof/>
                <w:webHidden/>
              </w:rPr>
              <w:tab/>
            </w:r>
            <w:r>
              <w:rPr>
                <w:noProof/>
                <w:webHidden/>
              </w:rPr>
              <w:fldChar w:fldCharType="begin"/>
            </w:r>
            <w:r>
              <w:rPr>
                <w:noProof/>
                <w:webHidden/>
              </w:rPr>
              <w:instrText xml:space="preserve"> PAGEREF _Toc136425143 \h </w:instrText>
            </w:r>
            <w:r>
              <w:rPr>
                <w:noProof/>
                <w:webHidden/>
              </w:rPr>
            </w:r>
            <w:r>
              <w:rPr>
                <w:noProof/>
                <w:webHidden/>
              </w:rPr>
              <w:fldChar w:fldCharType="separate"/>
            </w:r>
            <w:r>
              <w:rPr>
                <w:noProof/>
                <w:webHidden/>
              </w:rPr>
              <w:t>7</w:t>
            </w:r>
            <w:r>
              <w:rPr>
                <w:noProof/>
                <w:webHidden/>
              </w:rPr>
              <w:fldChar w:fldCharType="end"/>
            </w:r>
          </w:hyperlink>
        </w:p>
        <w:p w14:paraId="28E699A9" w14:textId="4B6D0A18" w:rsidR="009C30E6" w:rsidRDefault="009C30E6">
          <w:pPr>
            <w:pStyle w:val="TOC3"/>
            <w:tabs>
              <w:tab w:val="left" w:pos="1100"/>
              <w:tab w:val="right" w:leader="dot" w:pos="9350"/>
            </w:tabs>
            <w:rPr>
              <w:noProof/>
            </w:rPr>
          </w:pPr>
          <w:hyperlink w:anchor="_Toc136425144" w:history="1">
            <w:r w:rsidRPr="00F92E82">
              <w:rPr>
                <w:rStyle w:val="Hyperlink"/>
                <w:noProof/>
              </w:rPr>
              <w:t>4.1</w:t>
            </w:r>
            <w:r>
              <w:rPr>
                <w:noProof/>
              </w:rPr>
              <w:tab/>
            </w:r>
            <w:r w:rsidRPr="00F92E82">
              <w:rPr>
                <w:rStyle w:val="Hyperlink"/>
                <w:noProof/>
              </w:rPr>
              <w:t>Construction of typologies of households according to their gender composition and other characteristics</w:t>
            </w:r>
            <w:r>
              <w:rPr>
                <w:noProof/>
                <w:webHidden/>
              </w:rPr>
              <w:tab/>
            </w:r>
            <w:r>
              <w:rPr>
                <w:noProof/>
                <w:webHidden/>
              </w:rPr>
              <w:fldChar w:fldCharType="begin"/>
            </w:r>
            <w:r>
              <w:rPr>
                <w:noProof/>
                <w:webHidden/>
              </w:rPr>
              <w:instrText xml:space="preserve"> PAGEREF _Toc136425144 \h </w:instrText>
            </w:r>
            <w:r>
              <w:rPr>
                <w:noProof/>
                <w:webHidden/>
              </w:rPr>
            </w:r>
            <w:r>
              <w:rPr>
                <w:noProof/>
                <w:webHidden/>
              </w:rPr>
              <w:fldChar w:fldCharType="separate"/>
            </w:r>
            <w:r>
              <w:rPr>
                <w:noProof/>
                <w:webHidden/>
              </w:rPr>
              <w:t>7</w:t>
            </w:r>
            <w:r>
              <w:rPr>
                <w:noProof/>
                <w:webHidden/>
              </w:rPr>
              <w:fldChar w:fldCharType="end"/>
            </w:r>
          </w:hyperlink>
        </w:p>
        <w:p w14:paraId="31A1BE90" w14:textId="7BE7C6B6" w:rsidR="009C30E6" w:rsidRDefault="009C30E6">
          <w:pPr>
            <w:pStyle w:val="TOC3"/>
            <w:tabs>
              <w:tab w:val="left" w:pos="1100"/>
              <w:tab w:val="right" w:leader="dot" w:pos="9350"/>
            </w:tabs>
            <w:rPr>
              <w:noProof/>
            </w:rPr>
          </w:pPr>
          <w:hyperlink w:anchor="_Toc136425145" w:history="1">
            <w:r w:rsidRPr="00F92E82">
              <w:rPr>
                <w:rStyle w:val="Hyperlink"/>
                <w:noProof/>
              </w:rPr>
              <w:t>4.2</w:t>
            </w:r>
            <w:r>
              <w:rPr>
                <w:noProof/>
              </w:rPr>
              <w:tab/>
            </w:r>
            <w:r w:rsidRPr="00F92E82">
              <w:rPr>
                <w:rStyle w:val="Hyperlink"/>
                <w:noProof/>
              </w:rPr>
              <w:t>Fiscal incidence analysis</w:t>
            </w:r>
            <w:r>
              <w:rPr>
                <w:noProof/>
                <w:webHidden/>
              </w:rPr>
              <w:tab/>
            </w:r>
            <w:r>
              <w:rPr>
                <w:noProof/>
                <w:webHidden/>
              </w:rPr>
              <w:fldChar w:fldCharType="begin"/>
            </w:r>
            <w:r>
              <w:rPr>
                <w:noProof/>
                <w:webHidden/>
              </w:rPr>
              <w:instrText xml:space="preserve"> PAGEREF _Toc136425145 \h </w:instrText>
            </w:r>
            <w:r>
              <w:rPr>
                <w:noProof/>
                <w:webHidden/>
              </w:rPr>
            </w:r>
            <w:r>
              <w:rPr>
                <w:noProof/>
                <w:webHidden/>
              </w:rPr>
              <w:fldChar w:fldCharType="separate"/>
            </w:r>
            <w:r>
              <w:rPr>
                <w:noProof/>
                <w:webHidden/>
              </w:rPr>
              <w:t>13</w:t>
            </w:r>
            <w:r>
              <w:rPr>
                <w:noProof/>
                <w:webHidden/>
              </w:rPr>
              <w:fldChar w:fldCharType="end"/>
            </w:r>
          </w:hyperlink>
        </w:p>
        <w:p w14:paraId="25186FCF" w14:textId="451B84C7" w:rsidR="009C30E6" w:rsidRDefault="009C30E6">
          <w:pPr>
            <w:pStyle w:val="TOC2"/>
            <w:tabs>
              <w:tab w:val="left" w:pos="660"/>
            </w:tabs>
            <w:rPr>
              <w:noProof/>
            </w:rPr>
          </w:pPr>
          <w:hyperlink w:anchor="_Toc136425146" w:history="1">
            <w:r w:rsidRPr="00F92E82">
              <w:rPr>
                <w:rStyle w:val="Hyperlink"/>
                <w:noProof/>
              </w:rPr>
              <w:t>5.</w:t>
            </w:r>
            <w:r>
              <w:rPr>
                <w:noProof/>
              </w:rPr>
              <w:tab/>
            </w:r>
            <w:r w:rsidRPr="00F92E82">
              <w:rPr>
                <w:rStyle w:val="Hyperlink"/>
                <w:noProof/>
              </w:rPr>
              <w:t>Incidence analysis contrasted under a simulated scenario of higher female labor force participation</w:t>
            </w:r>
            <w:r>
              <w:rPr>
                <w:noProof/>
                <w:webHidden/>
              </w:rPr>
              <w:tab/>
            </w:r>
            <w:r>
              <w:rPr>
                <w:noProof/>
                <w:webHidden/>
              </w:rPr>
              <w:fldChar w:fldCharType="begin"/>
            </w:r>
            <w:r>
              <w:rPr>
                <w:noProof/>
                <w:webHidden/>
              </w:rPr>
              <w:instrText xml:space="preserve"> PAGEREF _Toc136425146 \h </w:instrText>
            </w:r>
            <w:r>
              <w:rPr>
                <w:noProof/>
                <w:webHidden/>
              </w:rPr>
            </w:r>
            <w:r>
              <w:rPr>
                <w:noProof/>
                <w:webHidden/>
              </w:rPr>
              <w:fldChar w:fldCharType="separate"/>
            </w:r>
            <w:r>
              <w:rPr>
                <w:noProof/>
                <w:webHidden/>
              </w:rPr>
              <w:t>16</w:t>
            </w:r>
            <w:r>
              <w:rPr>
                <w:noProof/>
                <w:webHidden/>
              </w:rPr>
              <w:fldChar w:fldCharType="end"/>
            </w:r>
          </w:hyperlink>
        </w:p>
        <w:p w14:paraId="35861557" w14:textId="7FEFE4D3" w:rsidR="009C30E6" w:rsidRDefault="009C30E6">
          <w:pPr>
            <w:pStyle w:val="TOC3"/>
            <w:tabs>
              <w:tab w:val="left" w:pos="1100"/>
              <w:tab w:val="right" w:leader="dot" w:pos="9350"/>
            </w:tabs>
            <w:rPr>
              <w:noProof/>
            </w:rPr>
          </w:pPr>
          <w:hyperlink w:anchor="_Toc136425147" w:history="1">
            <w:r w:rsidRPr="00F92E82">
              <w:rPr>
                <w:rStyle w:val="Hyperlink"/>
                <w:noProof/>
              </w:rPr>
              <w:t>5.1</w:t>
            </w:r>
            <w:r>
              <w:rPr>
                <w:noProof/>
              </w:rPr>
              <w:tab/>
            </w:r>
            <w:r w:rsidRPr="00F92E82">
              <w:rPr>
                <w:rStyle w:val="Hyperlink"/>
                <w:noProof/>
              </w:rPr>
              <w:t>Methodology and assumptions</w:t>
            </w:r>
            <w:r>
              <w:rPr>
                <w:noProof/>
                <w:webHidden/>
              </w:rPr>
              <w:tab/>
            </w:r>
            <w:r>
              <w:rPr>
                <w:noProof/>
                <w:webHidden/>
              </w:rPr>
              <w:fldChar w:fldCharType="begin"/>
            </w:r>
            <w:r>
              <w:rPr>
                <w:noProof/>
                <w:webHidden/>
              </w:rPr>
              <w:instrText xml:space="preserve"> PAGEREF _Toc136425147 \h </w:instrText>
            </w:r>
            <w:r>
              <w:rPr>
                <w:noProof/>
                <w:webHidden/>
              </w:rPr>
            </w:r>
            <w:r>
              <w:rPr>
                <w:noProof/>
                <w:webHidden/>
              </w:rPr>
              <w:fldChar w:fldCharType="separate"/>
            </w:r>
            <w:r>
              <w:rPr>
                <w:noProof/>
                <w:webHidden/>
              </w:rPr>
              <w:t>17</w:t>
            </w:r>
            <w:r>
              <w:rPr>
                <w:noProof/>
                <w:webHidden/>
              </w:rPr>
              <w:fldChar w:fldCharType="end"/>
            </w:r>
          </w:hyperlink>
        </w:p>
        <w:p w14:paraId="73ED8CD5" w14:textId="12BCBA19" w:rsidR="009C30E6" w:rsidRDefault="009C30E6">
          <w:pPr>
            <w:pStyle w:val="TOC3"/>
            <w:tabs>
              <w:tab w:val="left" w:pos="1100"/>
              <w:tab w:val="right" w:leader="dot" w:pos="9350"/>
            </w:tabs>
            <w:rPr>
              <w:noProof/>
            </w:rPr>
          </w:pPr>
          <w:hyperlink w:anchor="_Toc136425148" w:history="1">
            <w:r w:rsidRPr="00F92E82">
              <w:rPr>
                <w:rStyle w:val="Hyperlink"/>
                <w:noProof/>
              </w:rPr>
              <w:t>5.2</w:t>
            </w:r>
            <w:r>
              <w:rPr>
                <w:noProof/>
              </w:rPr>
              <w:tab/>
            </w:r>
            <w:r w:rsidRPr="00F92E82">
              <w:rPr>
                <w:rStyle w:val="Hyperlink"/>
                <w:noProof/>
              </w:rPr>
              <w:t>Results</w:t>
            </w:r>
            <w:r>
              <w:rPr>
                <w:noProof/>
                <w:webHidden/>
              </w:rPr>
              <w:tab/>
            </w:r>
            <w:r>
              <w:rPr>
                <w:noProof/>
                <w:webHidden/>
              </w:rPr>
              <w:fldChar w:fldCharType="begin"/>
            </w:r>
            <w:r>
              <w:rPr>
                <w:noProof/>
                <w:webHidden/>
              </w:rPr>
              <w:instrText xml:space="preserve"> PAGEREF _Toc136425148 \h </w:instrText>
            </w:r>
            <w:r>
              <w:rPr>
                <w:noProof/>
                <w:webHidden/>
              </w:rPr>
            </w:r>
            <w:r>
              <w:rPr>
                <w:noProof/>
                <w:webHidden/>
              </w:rPr>
              <w:fldChar w:fldCharType="separate"/>
            </w:r>
            <w:r>
              <w:rPr>
                <w:noProof/>
                <w:webHidden/>
              </w:rPr>
              <w:t>19</w:t>
            </w:r>
            <w:r>
              <w:rPr>
                <w:noProof/>
                <w:webHidden/>
              </w:rPr>
              <w:fldChar w:fldCharType="end"/>
            </w:r>
          </w:hyperlink>
        </w:p>
        <w:p w14:paraId="7B40CC99" w14:textId="39E67973" w:rsidR="009C30E6" w:rsidRDefault="009C30E6">
          <w:pPr>
            <w:pStyle w:val="TOC2"/>
            <w:tabs>
              <w:tab w:val="left" w:pos="660"/>
            </w:tabs>
            <w:rPr>
              <w:noProof/>
            </w:rPr>
          </w:pPr>
          <w:hyperlink w:anchor="_Toc136425149" w:history="1">
            <w:r w:rsidRPr="00F92E82">
              <w:rPr>
                <w:rStyle w:val="Hyperlink"/>
                <w:noProof/>
              </w:rPr>
              <w:t>6.</w:t>
            </w:r>
            <w:r>
              <w:rPr>
                <w:noProof/>
              </w:rPr>
              <w:tab/>
            </w:r>
            <w:r w:rsidRPr="00F92E82">
              <w:rPr>
                <w:rStyle w:val="Hyperlink"/>
                <w:noProof/>
              </w:rPr>
              <w:t>Discussion of results and areas for future work</w:t>
            </w:r>
            <w:r>
              <w:rPr>
                <w:noProof/>
                <w:webHidden/>
              </w:rPr>
              <w:tab/>
            </w:r>
            <w:r>
              <w:rPr>
                <w:noProof/>
                <w:webHidden/>
              </w:rPr>
              <w:fldChar w:fldCharType="begin"/>
            </w:r>
            <w:r>
              <w:rPr>
                <w:noProof/>
                <w:webHidden/>
              </w:rPr>
              <w:instrText xml:space="preserve"> PAGEREF _Toc136425149 \h </w:instrText>
            </w:r>
            <w:r>
              <w:rPr>
                <w:noProof/>
                <w:webHidden/>
              </w:rPr>
            </w:r>
            <w:r>
              <w:rPr>
                <w:noProof/>
                <w:webHidden/>
              </w:rPr>
              <w:fldChar w:fldCharType="separate"/>
            </w:r>
            <w:r>
              <w:rPr>
                <w:noProof/>
                <w:webHidden/>
              </w:rPr>
              <w:t>20</w:t>
            </w:r>
            <w:r>
              <w:rPr>
                <w:noProof/>
                <w:webHidden/>
              </w:rPr>
              <w:fldChar w:fldCharType="end"/>
            </w:r>
          </w:hyperlink>
        </w:p>
        <w:p w14:paraId="7FF60848" w14:textId="71272AB7" w:rsidR="009C30E6" w:rsidRDefault="009C30E6">
          <w:pPr>
            <w:pStyle w:val="TOC2"/>
            <w:rPr>
              <w:noProof/>
            </w:rPr>
          </w:pPr>
          <w:hyperlink w:anchor="_Toc136425150" w:history="1">
            <w:r w:rsidRPr="00F92E82">
              <w:rPr>
                <w:rStyle w:val="Hyperlink"/>
                <w:noProof/>
              </w:rPr>
              <w:t>References</w:t>
            </w:r>
            <w:r>
              <w:rPr>
                <w:noProof/>
                <w:webHidden/>
              </w:rPr>
              <w:tab/>
            </w:r>
            <w:r>
              <w:rPr>
                <w:noProof/>
                <w:webHidden/>
              </w:rPr>
              <w:fldChar w:fldCharType="begin"/>
            </w:r>
            <w:r>
              <w:rPr>
                <w:noProof/>
                <w:webHidden/>
              </w:rPr>
              <w:instrText xml:space="preserve"> PAGEREF _Toc136425150 \h </w:instrText>
            </w:r>
            <w:r>
              <w:rPr>
                <w:noProof/>
                <w:webHidden/>
              </w:rPr>
            </w:r>
            <w:r>
              <w:rPr>
                <w:noProof/>
                <w:webHidden/>
              </w:rPr>
              <w:fldChar w:fldCharType="separate"/>
            </w:r>
            <w:r>
              <w:rPr>
                <w:noProof/>
                <w:webHidden/>
              </w:rPr>
              <w:t>22</w:t>
            </w:r>
            <w:r>
              <w:rPr>
                <w:noProof/>
                <w:webHidden/>
              </w:rPr>
              <w:fldChar w:fldCharType="end"/>
            </w:r>
          </w:hyperlink>
        </w:p>
        <w:p w14:paraId="1CA8B85B" w14:textId="3AAD430F" w:rsidR="009C30E6" w:rsidRDefault="009C30E6">
          <w:pPr>
            <w:pStyle w:val="TOC2"/>
            <w:rPr>
              <w:noProof/>
            </w:rPr>
          </w:pPr>
          <w:hyperlink w:anchor="_Toc136425151" w:history="1">
            <w:r w:rsidRPr="00F92E82">
              <w:rPr>
                <w:rStyle w:val="Hyperlink"/>
                <w:noProof/>
              </w:rPr>
              <w:t>Annex A. Additional Tables and Figures</w:t>
            </w:r>
            <w:r>
              <w:rPr>
                <w:noProof/>
                <w:webHidden/>
              </w:rPr>
              <w:tab/>
            </w:r>
            <w:r>
              <w:rPr>
                <w:noProof/>
                <w:webHidden/>
              </w:rPr>
              <w:fldChar w:fldCharType="begin"/>
            </w:r>
            <w:r>
              <w:rPr>
                <w:noProof/>
                <w:webHidden/>
              </w:rPr>
              <w:instrText xml:space="preserve"> PAGEREF _Toc136425151 \h </w:instrText>
            </w:r>
            <w:r>
              <w:rPr>
                <w:noProof/>
                <w:webHidden/>
              </w:rPr>
            </w:r>
            <w:r>
              <w:rPr>
                <w:noProof/>
                <w:webHidden/>
              </w:rPr>
              <w:fldChar w:fldCharType="separate"/>
            </w:r>
            <w:r>
              <w:rPr>
                <w:noProof/>
                <w:webHidden/>
              </w:rPr>
              <w:t>23</w:t>
            </w:r>
            <w:r>
              <w:rPr>
                <w:noProof/>
                <w:webHidden/>
              </w:rPr>
              <w:fldChar w:fldCharType="end"/>
            </w:r>
          </w:hyperlink>
        </w:p>
        <w:p w14:paraId="56B617D0" w14:textId="0FB53AD3" w:rsidR="00485764" w:rsidRDefault="00485764">
          <w:r>
            <w:rPr>
              <w:b/>
              <w:bCs/>
              <w:noProof/>
            </w:rPr>
            <w:fldChar w:fldCharType="end"/>
          </w:r>
        </w:p>
      </w:sdtContent>
    </w:sdt>
    <w:p w14:paraId="21777494" w14:textId="4DE8B2EF" w:rsidR="00342216" w:rsidRDefault="00342216" w:rsidP="00342216">
      <w:pPr>
        <w:rPr>
          <w:b/>
          <w:bCs/>
        </w:rPr>
      </w:pPr>
    </w:p>
    <w:p w14:paraId="73255CFA" w14:textId="6E44595F" w:rsidR="003E44F2" w:rsidRDefault="003E44F2" w:rsidP="00342216">
      <w:pPr>
        <w:rPr>
          <w:b/>
          <w:bCs/>
        </w:rPr>
      </w:pPr>
    </w:p>
    <w:p w14:paraId="4F257F35" w14:textId="6C8DEB18" w:rsidR="003E44F2" w:rsidRDefault="003E44F2" w:rsidP="00342216">
      <w:pPr>
        <w:rPr>
          <w:b/>
          <w:bCs/>
        </w:rPr>
      </w:pPr>
    </w:p>
    <w:p w14:paraId="1B80E591" w14:textId="3AF3AA3E" w:rsidR="003E44F2" w:rsidRDefault="003E44F2" w:rsidP="00342216">
      <w:pPr>
        <w:rPr>
          <w:b/>
          <w:bCs/>
        </w:rPr>
      </w:pPr>
    </w:p>
    <w:p w14:paraId="30D6D9B3" w14:textId="77777777" w:rsidR="003E44F2" w:rsidRDefault="003E44F2" w:rsidP="00342216">
      <w:pPr>
        <w:rPr>
          <w:b/>
          <w:bCs/>
        </w:rPr>
      </w:pPr>
    </w:p>
    <w:p w14:paraId="255022BC" w14:textId="07E8FC93" w:rsidR="00DD4FA6" w:rsidRDefault="003906C3" w:rsidP="00342216">
      <w:pPr>
        <w:rPr>
          <w:b/>
          <w:bCs/>
        </w:rPr>
      </w:pPr>
      <w:r>
        <w:rPr>
          <w:b/>
          <w:bCs/>
        </w:rPr>
        <w:br w:type="page"/>
      </w:r>
    </w:p>
    <w:p w14:paraId="5CF0C507" w14:textId="0BB070B5" w:rsidR="0087394D" w:rsidRDefault="0087394D" w:rsidP="00305C12">
      <w:pPr>
        <w:pStyle w:val="Heading2"/>
        <w:numPr>
          <w:ilvl w:val="0"/>
          <w:numId w:val="20"/>
        </w:numPr>
      </w:pPr>
      <w:bookmarkStart w:id="2" w:name="_Toc136425140"/>
      <w:r w:rsidRPr="00D12059">
        <w:lastRenderedPageBreak/>
        <w:t>Introduction</w:t>
      </w:r>
      <w:bookmarkEnd w:id="2"/>
    </w:p>
    <w:p w14:paraId="0AB91F5F" w14:textId="2BCD6AD0" w:rsidR="00A63928" w:rsidRDefault="00065CC7" w:rsidP="00096AA3">
      <w:pPr>
        <w:pStyle w:val="ListParagraph"/>
        <w:spacing w:before="120" w:after="120" w:line="257" w:lineRule="auto"/>
        <w:ind w:left="0"/>
        <w:contextualSpacing w:val="0"/>
      </w:pPr>
      <w:r w:rsidRPr="00F33004">
        <w:rPr>
          <w:rFonts w:cstheme="minorHAnsi"/>
          <w:b/>
        </w:rPr>
        <w:t>Gender-based disparities are a fundamental</w:t>
      </w:r>
      <w:r w:rsidR="00A4411B">
        <w:rPr>
          <w:rFonts w:cstheme="minorHAnsi"/>
          <w:b/>
        </w:rPr>
        <w:t xml:space="preserve"> but often overlooked </w:t>
      </w:r>
      <w:r w:rsidRPr="00F33004">
        <w:rPr>
          <w:rFonts w:cstheme="minorHAnsi"/>
          <w:b/>
        </w:rPr>
        <w:t xml:space="preserve">aspect of understanding </w:t>
      </w:r>
      <w:r w:rsidR="005D3067">
        <w:rPr>
          <w:rFonts w:cstheme="minorHAnsi"/>
          <w:b/>
          <w:bCs/>
        </w:rPr>
        <w:t xml:space="preserve">the </w:t>
      </w:r>
      <w:r w:rsidRPr="00EC63AA">
        <w:rPr>
          <w:rFonts w:cstheme="minorHAnsi"/>
          <w:b/>
          <w:bCs/>
        </w:rPr>
        <w:t>distributi</w:t>
      </w:r>
      <w:r w:rsidR="005D3067">
        <w:rPr>
          <w:rFonts w:cstheme="minorHAnsi"/>
          <w:b/>
          <w:bCs/>
        </w:rPr>
        <w:t xml:space="preserve">onal impact of </w:t>
      </w:r>
      <w:proofErr w:type="gramStart"/>
      <w:r w:rsidR="00422F42" w:rsidRPr="00793CC7">
        <w:rPr>
          <w:rFonts w:cstheme="minorHAnsi"/>
          <w:b/>
        </w:rPr>
        <w:t>government’s</w:t>
      </w:r>
      <w:proofErr w:type="gramEnd"/>
      <w:r w:rsidR="00422F42" w:rsidRPr="00793CC7">
        <w:rPr>
          <w:rFonts w:cstheme="minorHAnsi"/>
          <w:b/>
        </w:rPr>
        <w:t xml:space="preserve"> </w:t>
      </w:r>
      <w:r w:rsidR="00F473F2" w:rsidRPr="00793CC7">
        <w:rPr>
          <w:rFonts w:cstheme="minorHAnsi"/>
          <w:b/>
        </w:rPr>
        <w:t xml:space="preserve">revenue </w:t>
      </w:r>
      <w:r w:rsidR="00666110" w:rsidRPr="00793CC7">
        <w:rPr>
          <w:rFonts w:cstheme="minorHAnsi"/>
          <w:b/>
        </w:rPr>
        <w:t xml:space="preserve">sources </w:t>
      </w:r>
      <w:r w:rsidR="00F473F2" w:rsidRPr="00793CC7">
        <w:rPr>
          <w:rFonts w:cstheme="minorHAnsi"/>
          <w:b/>
        </w:rPr>
        <w:t xml:space="preserve">and </w:t>
      </w:r>
      <w:r w:rsidR="00422F42" w:rsidRPr="00793CC7">
        <w:rPr>
          <w:rFonts w:cstheme="minorHAnsi"/>
          <w:b/>
        </w:rPr>
        <w:t>expenditure allocation</w:t>
      </w:r>
      <w:r w:rsidRPr="00793CC7">
        <w:rPr>
          <w:rFonts w:cstheme="minorHAnsi"/>
          <w:b/>
        </w:rPr>
        <w:t xml:space="preserve">. </w:t>
      </w:r>
      <w:r w:rsidR="003B54FC">
        <w:t>Most fiscal incidence studies have focused on the distribution</w:t>
      </w:r>
      <w:r w:rsidR="009529AC">
        <w:t>al impact</w:t>
      </w:r>
      <w:r w:rsidR="003B54FC">
        <w:t xml:space="preserve"> of </w:t>
      </w:r>
      <w:r w:rsidR="009529AC">
        <w:t>different</w:t>
      </w:r>
      <w:r w:rsidR="003B54FC">
        <w:t xml:space="preserve"> tax</w:t>
      </w:r>
      <w:r w:rsidR="009529AC">
        <w:t xml:space="preserve"> and </w:t>
      </w:r>
      <w:r w:rsidR="003B54FC">
        <w:t xml:space="preserve">spending measures across </w:t>
      </w:r>
      <w:proofErr w:type="gramStart"/>
      <w:r w:rsidR="003B54FC">
        <w:t>deciles</w:t>
      </w:r>
      <w:proofErr w:type="gramEnd"/>
      <w:r w:rsidR="003B54FC">
        <w:t xml:space="preserve"> or other decompositions of the income distribution. </w:t>
      </w:r>
      <w:r w:rsidR="007B208E">
        <w:t>More recently, s</w:t>
      </w:r>
      <w:r w:rsidR="00B574A0">
        <w:t xml:space="preserve">everal approaches </w:t>
      </w:r>
      <w:r w:rsidR="007B208E">
        <w:t xml:space="preserve">have been developed to </w:t>
      </w:r>
      <w:r w:rsidR="00B574A0">
        <w:t xml:space="preserve">attempt to </w:t>
      </w:r>
      <w:r w:rsidR="0090122D">
        <w:t xml:space="preserve">integrate </w:t>
      </w:r>
      <w:r w:rsidR="00FA5084">
        <w:t xml:space="preserve">the differential </w:t>
      </w:r>
      <w:r w:rsidR="00D65F75">
        <w:t xml:space="preserve">impact of </w:t>
      </w:r>
      <w:r w:rsidR="00D3794B">
        <w:t>fiscal interventions on gender</w:t>
      </w:r>
      <w:r w:rsidR="007746B5">
        <w:t>. These are particularly</w:t>
      </w:r>
      <w:r w:rsidR="0022383B">
        <w:t xml:space="preserve"> </w:t>
      </w:r>
      <w:r w:rsidR="00074A44">
        <w:t xml:space="preserve">relevant in the context of </w:t>
      </w:r>
      <w:r w:rsidR="005927B3">
        <w:t xml:space="preserve">the </w:t>
      </w:r>
      <w:r w:rsidR="005F7011">
        <w:t>persistent</w:t>
      </w:r>
      <w:r w:rsidR="00B827F7">
        <w:t xml:space="preserve"> gender gaps in Uruguay</w:t>
      </w:r>
      <w:r w:rsidR="00D3794B">
        <w:t>.</w:t>
      </w:r>
      <w:r w:rsidR="001544BB">
        <w:t xml:space="preserve"> </w:t>
      </w:r>
      <w:r w:rsidR="00A26E56">
        <w:t>A</w:t>
      </w:r>
      <w:r w:rsidR="00A26E56" w:rsidRPr="007B63BC">
        <w:t xml:space="preserve">lthough </w:t>
      </w:r>
      <w:r w:rsidR="00A87F36">
        <w:t>the country</w:t>
      </w:r>
      <w:r w:rsidR="00A26E56" w:rsidRPr="007B63BC">
        <w:t xml:space="preserve"> has achieved important progress in gender equality on several dimensions of human capital</w:t>
      </w:r>
      <w:r w:rsidR="00CF4D1B">
        <w:t xml:space="preserve">, </w:t>
      </w:r>
      <w:r w:rsidR="007746B5">
        <w:t>significant</w:t>
      </w:r>
      <w:r w:rsidR="001B75AF">
        <w:t xml:space="preserve"> gender gaps </w:t>
      </w:r>
      <w:r w:rsidR="00E9622B">
        <w:t>regarding access</w:t>
      </w:r>
      <w:r w:rsidR="001B75AF">
        <w:t xml:space="preserve"> to </w:t>
      </w:r>
      <w:r w:rsidR="00B61048">
        <w:t>economic opportunities</w:t>
      </w:r>
      <w:r w:rsidR="00655FE2">
        <w:t xml:space="preserve"> persist</w:t>
      </w:r>
      <w:r w:rsidR="00B61048">
        <w:t>.</w:t>
      </w:r>
      <w:r w:rsidR="00E9622B">
        <w:t xml:space="preserve"> For instance,</w:t>
      </w:r>
      <w:r w:rsidR="00A744B8">
        <w:t xml:space="preserve"> </w:t>
      </w:r>
      <w:r w:rsidR="003B5C98">
        <w:t xml:space="preserve">even though the rate of female labor force participation is </w:t>
      </w:r>
      <w:proofErr w:type="gramStart"/>
      <w:r w:rsidR="003B5C98">
        <w:t>similar to</w:t>
      </w:r>
      <w:proofErr w:type="gramEnd"/>
      <w:r w:rsidR="003B5C98">
        <w:t xml:space="preserve"> that of comparator countries, it is still 17 percentage points lower than that of men. </w:t>
      </w:r>
      <w:r w:rsidR="00F57DD6">
        <w:t>Moreover,</w:t>
      </w:r>
      <w:r w:rsidR="00A70666">
        <w:t xml:space="preserve"> </w:t>
      </w:r>
      <w:r w:rsidR="004051B6">
        <w:t xml:space="preserve">women carry a heavier burden of </w:t>
      </w:r>
      <w:r w:rsidR="00DF220D">
        <w:t xml:space="preserve">unpaid </w:t>
      </w:r>
      <w:r w:rsidR="004051B6">
        <w:t>childcare and domestic chores</w:t>
      </w:r>
      <w:r w:rsidR="003F6792">
        <w:t xml:space="preserve">, accounting for about 20 percent of their time (vis-à-vis </w:t>
      </w:r>
      <w:r w:rsidR="0050505F">
        <w:t>8 percent of men</w:t>
      </w:r>
      <w:r w:rsidR="00536306">
        <w:t>’</w:t>
      </w:r>
      <w:r w:rsidR="0050505F">
        <w:t>s</w:t>
      </w:r>
      <w:r w:rsidR="005174AE">
        <w:t>)</w:t>
      </w:r>
      <w:r w:rsidR="005B7E5B">
        <w:t>.</w:t>
      </w:r>
      <w:r w:rsidR="006E04CF">
        <w:rPr>
          <w:rStyle w:val="FootnoteReference"/>
        </w:rPr>
        <w:footnoteReference w:id="3"/>
      </w:r>
      <w:r w:rsidR="00F57DD6">
        <w:t xml:space="preserve"> </w:t>
      </w:r>
    </w:p>
    <w:p w14:paraId="442DBACF" w14:textId="3AB01733" w:rsidR="00A63928" w:rsidRDefault="00A71B24" w:rsidP="00096AA3">
      <w:pPr>
        <w:pStyle w:val="ListParagraph"/>
        <w:spacing w:before="120" w:after="120" w:line="257" w:lineRule="auto"/>
        <w:ind w:left="0"/>
        <w:contextualSpacing w:val="0"/>
      </w:pPr>
      <w:r w:rsidRPr="00E33C99">
        <w:rPr>
          <w:b/>
          <w:bCs/>
        </w:rPr>
        <w:t xml:space="preserve">This </w:t>
      </w:r>
      <w:r w:rsidR="00B6039A">
        <w:rPr>
          <w:b/>
          <w:bCs/>
        </w:rPr>
        <w:t>study</w:t>
      </w:r>
      <w:r w:rsidRPr="00E33C99">
        <w:rPr>
          <w:b/>
          <w:bCs/>
        </w:rPr>
        <w:t xml:space="preserve"> </w:t>
      </w:r>
      <w:r w:rsidR="00592364">
        <w:rPr>
          <w:b/>
          <w:bCs/>
        </w:rPr>
        <w:t>explores</w:t>
      </w:r>
      <w:r w:rsidRPr="00E33C99">
        <w:rPr>
          <w:b/>
          <w:bCs/>
        </w:rPr>
        <w:t xml:space="preserve"> </w:t>
      </w:r>
      <w:r w:rsidR="000A1A80">
        <w:rPr>
          <w:b/>
          <w:bCs/>
        </w:rPr>
        <w:t xml:space="preserve">the </w:t>
      </w:r>
      <w:r w:rsidR="00F654FA">
        <w:rPr>
          <w:b/>
          <w:bCs/>
        </w:rPr>
        <w:t>incidence</w:t>
      </w:r>
      <w:r w:rsidR="00F654FA" w:rsidRPr="00E33C99">
        <w:rPr>
          <w:b/>
          <w:bCs/>
        </w:rPr>
        <w:t xml:space="preserve"> </w:t>
      </w:r>
      <w:r w:rsidRPr="00E33C99">
        <w:rPr>
          <w:b/>
          <w:bCs/>
        </w:rPr>
        <w:t>of fiscal interventions on gender in the context of households with different individual-level characteristics.</w:t>
      </w:r>
      <w:r w:rsidRPr="00E33C99">
        <w:t xml:space="preserve"> Building on welfare indicators used in fiscal incidence analys</w:t>
      </w:r>
      <w:r w:rsidR="00921B18">
        <w:t>e</w:t>
      </w:r>
      <w:r w:rsidRPr="00E33C99">
        <w:t xml:space="preserve">s under the </w:t>
      </w:r>
      <w:r w:rsidR="00675796">
        <w:t xml:space="preserve">standard </w:t>
      </w:r>
      <w:r w:rsidRPr="00E33C99">
        <w:t xml:space="preserve">Commitment to Equity (CEQ) </w:t>
      </w:r>
      <w:r w:rsidR="006A0FC1">
        <w:t>methodology</w:t>
      </w:r>
      <w:r w:rsidRPr="00E33C99">
        <w:t>,</w:t>
      </w:r>
      <w:r w:rsidRPr="00E33C99">
        <w:rPr>
          <w:rStyle w:val="FootnoteReference"/>
        </w:rPr>
        <w:footnoteReference w:id="4"/>
      </w:r>
      <w:r w:rsidRPr="00E33C99">
        <w:t xml:space="preserve"> this </w:t>
      </w:r>
      <w:r w:rsidR="00992F53">
        <w:t>work</w:t>
      </w:r>
      <w:r w:rsidR="00A26851" w:rsidRPr="00E33C99">
        <w:t xml:space="preserve"> </w:t>
      </w:r>
      <w:r w:rsidR="00C32E53">
        <w:t>extends the</w:t>
      </w:r>
      <w:r w:rsidR="00CD4F62">
        <w:t xml:space="preserve"> approach </w:t>
      </w:r>
      <w:r w:rsidR="00AB7C68" w:rsidRPr="007D27BE">
        <w:t>by examining how</w:t>
      </w:r>
      <w:r w:rsidRPr="007D27BE">
        <w:t xml:space="preserve"> </w:t>
      </w:r>
      <w:r w:rsidR="00971F97">
        <w:t xml:space="preserve">fiscal </w:t>
      </w:r>
      <w:r w:rsidRPr="007D27BE">
        <w:t xml:space="preserve">interventions </w:t>
      </w:r>
      <w:r w:rsidR="00AB7C68" w:rsidRPr="007D27BE">
        <w:t>can</w:t>
      </w:r>
      <w:r w:rsidRPr="007D27BE">
        <w:t xml:space="preserve"> </w:t>
      </w:r>
      <w:r w:rsidR="00BF3822">
        <w:t>have a different impact</w:t>
      </w:r>
      <w:r w:rsidR="009D0798">
        <w:t xml:space="preserve"> on households with distinct gender </w:t>
      </w:r>
      <w:r w:rsidR="00DD4C57">
        <w:t>compositions</w:t>
      </w:r>
      <w:r w:rsidR="009D0798">
        <w:t xml:space="preserve"> under </w:t>
      </w:r>
      <w:r w:rsidR="00B7321B">
        <w:t xml:space="preserve">the </w:t>
      </w:r>
      <w:r w:rsidR="00971A08">
        <w:t xml:space="preserve">prevailing </w:t>
      </w:r>
      <w:r w:rsidR="002125F0">
        <w:t xml:space="preserve">gender </w:t>
      </w:r>
      <w:r w:rsidR="001B1B0D">
        <w:t>gaps</w:t>
      </w:r>
      <w:r w:rsidR="00437E45" w:rsidRPr="007D27BE">
        <w:t xml:space="preserve">. </w:t>
      </w:r>
      <w:r w:rsidR="007051C6" w:rsidRPr="00AF421A">
        <w:t xml:space="preserve">The analysis thereby </w:t>
      </w:r>
      <w:r w:rsidR="000B292E" w:rsidRPr="00AF421A">
        <w:t xml:space="preserve">studies the differential impact </w:t>
      </w:r>
      <w:r w:rsidR="0093707C" w:rsidRPr="00AF421A">
        <w:t xml:space="preserve">of fiscal interventions </w:t>
      </w:r>
      <w:r w:rsidR="000B292E" w:rsidRPr="00AF421A">
        <w:t xml:space="preserve">on </w:t>
      </w:r>
      <w:r w:rsidR="0093707C" w:rsidRPr="00AF421A">
        <w:t>population</w:t>
      </w:r>
      <w:r w:rsidR="000B292E" w:rsidRPr="00AF421A">
        <w:t xml:space="preserve"> </w:t>
      </w:r>
      <w:r w:rsidR="009B02F1" w:rsidRPr="00AF421A">
        <w:t>groups like people</w:t>
      </w:r>
      <w:r w:rsidRPr="00AF421A">
        <w:t xml:space="preserve"> living in </w:t>
      </w:r>
      <w:r w:rsidR="004A1BBF">
        <w:t>female</w:t>
      </w:r>
      <w:r w:rsidRPr="00AF421A">
        <w:t xml:space="preserve">-led households, in single-parent female households, </w:t>
      </w:r>
      <w:r w:rsidR="009B02F1" w:rsidRPr="00AF421A">
        <w:t xml:space="preserve">or </w:t>
      </w:r>
      <w:r w:rsidRPr="00AF421A">
        <w:t>in female unipersonal households</w:t>
      </w:r>
      <w:r w:rsidR="008F3736" w:rsidRPr="00AF421A">
        <w:t xml:space="preserve">. </w:t>
      </w:r>
      <w:r w:rsidR="00A13E74" w:rsidRPr="00AF421A">
        <w:t xml:space="preserve">It aims at identifying </w:t>
      </w:r>
      <w:r w:rsidR="00F14CEE" w:rsidRPr="00AF421A">
        <w:t xml:space="preserve">which fiscal policies </w:t>
      </w:r>
      <w:r w:rsidRPr="00AF421A">
        <w:t>contribute to generating greater equality between these groups.</w:t>
      </w:r>
      <w:r>
        <w:t xml:space="preserve"> </w:t>
      </w:r>
    </w:p>
    <w:p w14:paraId="7F5BAE45" w14:textId="341E1E02" w:rsidR="00A63928" w:rsidRDefault="00911A74" w:rsidP="00096AA3">
      <w:pPr>
        <w:pStyle w:val="ListParagraph"/>
        <w:spacing w:before="120" w:after="120" w:line="257" w:lineRule="auto"/>
        <w:ind w:left="0"/>
        <w:contextualSpacing w:val="0"/>
      </w:pPr>
      <w:r w:rsidRPr="000457A4">
        <w:rPr>
          <w:b/>
        </w:rPr>
        <w:t xml:space="preserve">Based on household survey data, this study proposes the construction </w:t>
      </w:r>
      <w:r w:rsidR="00FD110E" w:rsidRPr="000457A4">
        <w:rPr>
          <w:b/>
        </w:rPr>
        <w:t xml:space="preserve">of </w:t>
      </w:r>
      <w:r w:rsidR="003367E4" w:rsidRPr="000457A4">
        <w:rPr>
          <w:b/>
        </w:rPr>
        <w:t>household typologies</w:t>
      </w:r>
      <w:r w:rsidRPr="000457A4">
        <w:rPr>
          <w:b/>
        </w:rPr>
        <w:t xml:space="preserve"> according to </w:t>
      </w:r>
      <w:r w:rsidR="003367E4" w:rsidRPr="000457A4">
        <w:rPr>
          <w:b/>
        </w:rPr>
        <w:t xml:space="preserve">their </w:t>
      </w:r>
      <w:r w:rsidR="00A80E62">
        <w:rPr>
          <w:b/>
        </w:rPr>
        <w:t>gender-relevant demographic and economic</w:t>
      </w:r>
      <w:r w:rsidRPr="000457A4">
        <w:rPr>
          <w:b/>
        </w:rPr>
        <w:t xml:space="preserve"> composition.</w:t>
      </w:r>
      <w:r w:rsidR="003367E4">
        <w:t xml:space="preserve"> </w:t>
      </w:r>
      <w:r w:rsidR="00880F5B">
        <w:t xml:space="preserve">Two </w:t>
      </w:r>
      <w:r w:rsidR="003367E4">
        <w:t xml:space="preserve">typologies are constructed: </w:t>
      </w:r>
      <w:r w:rsidR="00483EE9" w:rsidRPr="00483EE9">
        <w:t xml:space="preserve">one following demographic composition criteria; and a second </w:t>
      </w:r>
      <w:r w:rsidR="00B73829">
        <w:t xml:space="preserve">based on economic composition criteria </w:t>
      </w:r>
      <w:r w:rsidR="003F50A9">
        <w:t xml:space="preserve">according to the </w:t>
      </w:r>
      <w:r w:rsidR="005155C6">
        <w:t>earnings</w:t>
      </w:r>
      <w:r w:rsidR="00F05F7E">
        <w:t>-share</w:t>
      </w:r>
      <w:r w:rsidR="005155C6">
        <w:t xml:space="preserve"> (labor income) of their male and female members.</w:t>
      </w:r>
      <w:r w:rsidR="003F50A9">
        <w:t xml:space="preserve"> </w:t>
      </w:r>
    </w:p>
    <w:p w14:paraId="6663A4B0" w14:textId="6582FC12" w:rsidR="007745A5" w:rsidRDefault="00F63BBD" w:rsidP="00096AA3">
      <w:pPr>
        <w:pStyle w:val="ListParagraph"/>
        <w:spacing w:before="120" w:after="120" w:line="257" w:lineRule="auto"/>
        <w:ind w:left="0"/>
        <w:contextualSpacing w:val="0"/>
      </w:pPr>
      <w:r w:rsidRPr="000457A4">
        <w:rPr>
          <w:b/>
        </w:rPr>
        <w:t xml:space="preserve">The existing CEQ analytical framework offers the opportunity of </w:t>
      </w:r>
      <w:r w:rsidRPr="00A63928">
        <w:rPr>
          <w:b/>
        </w:rPr>
        <w:t xml:space="preserve">incorporating the gender dimension into the distributive incidence analysis, with the ability </w:t>
      </w:r>
      <w:r w:rsidR="00F60EFF">
        <w:rPr>
          <w:b/>
        </w:rPr>
        <w:t>to provide</w:t>
      </w:r>
      <w:r w:rsidRPr="00A63928">
        <w:rPr>
          <w:b/>
        </w:rPr>
        <w:t xml:space="preserve"> international comparisons and relevant benchmarking for Uruguay.</w:t>
      </w:r>
      <w:r>
        <w:t xml:space="preserve"> In </w:t>
      </w:r>
      <w:r w:rsidR="00A80E62">
        <w:t>the</w:t>
      </w:r>
      <w:r>
        <w:t xml:space="preserve"> first stage, typologies of households and their characterization are constructed as a basis for understanding </w:t>
      </w:r>
      <w:r w:rsidR="009669EC">
        <w:t xml:space="preserve">the drivers of </w:t>
      </w:r>
      <w:r>
        <w:t xml:space="preserve">differential effects of fiscal policy on households </w:t>
      </w:r>
      <w:r w:rsidR="003D7B36">
        <w:t xml:space="preserve">with </w:t>
      </w:r>
      <w:r w:rsidR="0018162C">
        <w:t>different gender composition</w:t>
      </w:r>
      <w:r w:rsidR="002D3BDB">
        <w:t>s</w:t>
      </w:r>
      <w:r>
        <w:t xml:space="preserve">. In </w:t>
      </w:r>
      <w:r w:rsidR="00B76C54">
        <w:t>the</w:t>
      </w:r>
      <w:r w:rsidR="0029063D">
        <w:t xml:space="preserve"> second stage</w:t>
      </w:r>
      <w:r>
        <w:t xml:space="preserve">, </w:t>
      </w:r>
      <w:r w:rsidR="00515755">
        <w:t xml:space="preserve">the extended framework is </w:t>
      </w:r>
      <w:r w:rsidR="00DE464C">
        <w:t>applied</w:t>
      </w:r>
      <w:r w:rsidR="00515755">
        <w:t xml:space="preserve"> to</w:t>
      </w:r>
      <w:r w:rsidR="00660CCB">
        <w:t xml:space="preserve"> </w:t>
      </w:r>
      <w:r w:rsidR="00B64846">
        <w:t>estimate</w:t>
      </w:r>
      <w:r w:rsidR="00660CCB">
        <w:t xml:space="preserve"> the </w:t>
      </w:r>
      <w:r w:rsidR="00557E3B">
        <w:t xml:space="preserve">incidence of </w:t>
      </w:r>
      <w:r w:rsidR="00962F70">
        <w:t xml:space="preserve">selected </w:t>
      </w:r>
      <w:r w:rsidR="00557E3B">
        <w:t>direct taxes and transfers</w:t>
      </w:r>
      <w:r w:rsidR="00C52FDC">
        <w:t xml:space="preserve"> across </w:t>
      </w:r>
      <w:r w:rsidR="0024046B">
        <w:t>household types</w:t>
      </w:r>
      <w:r w:rsidR="00557E3B">
        <w:t>.</w:t>
      </w:r>
      <w:r w:rsidR="0024046B">
        <w:t xml:space="preserve"> In </w:t>
      </w:r>
      <w:r w:rsidR="00B76C54">
        <w:t>the</w:t>
      </w:r>
      <w:r w:rsidR="0024046B">
        <w:t xml:space="preserve"> third </w:t>
      </w:r>
      <w:r w:rsidR="0024046B" w:rsidRPr="00F32251">
        <w:t xml:space="preserve">stage, </w:t>
      </w:r>
      <w:r w:rsidR="00DE464C">
        <w:t xml:space="preserve">a </w:t>
      </w:r>
      <w:r w:rsidR="00B76C54">
        <w:t>microsimulation</w:t>
      </w:r>
      <w:r w:rsidR="00DE464C">
        <w:t xml:space="preserve"> model is </w:t>
      </w:r>
      <w:r w:rsidR="00725D2D">
        <w:t>incorporated into the framework</w:t>
      </w:r>
      <w:r w:rsidR="00DE464C">
        <w:t xml:space="preserve"> to</w:t>
      </w:r>
      <w:r w:rsidR="00C44330">
        <w:t xml:space="preserve"> </w:t>
      </w:r>
      <w:r w:rsidR="002D1B8E">
        <w:t>estimate</w:t>
      </w:r>
      <w:r w:rsidR="00B91DC0" w:rsidRPr="00F32251">
        <w:t xml:space="preserve"> </w:t>
      </w:r>
      <w:r w:rsidR="00F32251" w:rsidRPr="00F32251">
        <w:t xml:space="preserve">changes in the incidence of </w:t>
      </w:r>
      <w:r w:rsidR="00B91DC0" w:rsidRPr="00F32251">
        <w:t xml:space="preserve">taxes and transfers </w:t>
      </w:r>
      <w:r w:rsidR="00F32251" w:rsidRPr="00F32251">
        <w:t>under a</w:t>
      </w:r>
      <w:r w:rsidR="002D1B8E">
        <w:t xml:space="preserve"> simulated </w:t>
      </w:r>
      <w:r w:rsidR="00736984">
        <w:t>exogenous</w:t>
      </w:r>
      <w:r w:rsidR="00F32251" w:rsidRPr="00F32251">
        <w:t xml:space="preserve"> increase </w:t>
      </w:r>
      <w:r w:rsidR="00F32251">
        <w:t>in female labor force participation</w:t>
      </w:r>
      <w:r w:rsidR="00B91DC0" w:rsidRPr="00F32251">
        <w:t>.</w:t>
      </w:r>
    </w:p>
    <w:p w14:paraId="74871228" w14:textId="77777777" w:rsidR="00C32EE2" w:rsidRDefault="00985EA6" w:rsidP="00096AA3">
      <w:pPr>
        <w:pStyle w:val="ListParagraph"/>
        <w:spacing w:before="120" w:after="120" w:line="257" w:lineRule="auto"/>
        <w:ind w:left="0"/>
        <w:contextualSpacing w:val="0"/>
        <w:rPr>
          <w:bCs/>
        </w:rPr>
      </w:pPr>
      <w:r>
        <w:rPr>
          <w:b/>
        </w:rPr>
        <w:t>Results</w:t>
      </w:r>
      <w:r w:rsidR="00BA16E1" w:rsidRPr="00BA16E1">
        <w:rPr>
          <w:b/>
        </w:rPr>
        <w:t xml:space="preserve"> </w:t>
      </w:r>
      <w:r w:rsidR="00324C1F">
        <w:rPr>
          <w:b/>
        </w:rPr>
        <w:t>suggest</w:t>
      </w:r>
      <w:r w:rsidR="00324C1F" w:rsidRPr="000457A4">
        <w:rPr>
          <w:b/>
        </w:rPr>
        <w:t xml:space="preserve"> </w:t>
      </w:r>
      <w:r w:rsidR="00BA16E1" w:rsidRPr="00BA16E1">
        <w:rPr>
          <w:b/>
        </w:rPr>
        <w:t xml:space="preserve">that direct </w:t>
      </w:r>
      <w:r w:rsidR="00324C1F">
        <w:rPr>
          <w:b/>
        </w:rPr>
        <w:t xml:space="preserve">taxes and </w:t>
      </w:r>
      <w:r w:rsidR="00BA16E1" w:rsidRPr="00BA16E1">
        <w:rPr>
          <w:b/>
        </w:rPr>
        <w:t xml:space="preserve">transfers </w:t>
      </w:r>
      <w:r w:rsidR="009537D9">
        <w:rPr>
          <w:b/>
        </w:rPr>
        <w:t>increase</w:t>
      </w:r>
      <w:r w:rsidR="00F65C32">
        <w:rPr>
          <w:b/>
        </w:rPr>
        <w:t xml:space="preserve"> gender</w:t>
      </w:r>
      <w:r w:rsidR="009537D9">
        <w:rPr>
          <w:b/>
        </w:rPr>
        <w:t xml:space="preserve"> </w:t>
      </w:r>
      <w:r w:rsidR="00DB70A3">
        <w:rPr>
          <w:b/>
        </w:rPr>
        <w:t xml:space="preserve">income </w:t>
      </w:r>
      <w:r w:rsidR="00F05775">
        <w:rPr>
          <w:b/>
        </w:rPr>
        <w:t>equality in</w:t>
      </w:r>
      <w:r w:rsidR="00D86155">
        <w:rPr>
          <w:b/>
        </w:rPr>
        <w:t xml:space="preserve"> Uruguay</w:t>
      </w:r>
      <w:r w:rsidR="00DB70A3">
        <w:rPr>
          <w:b/>
        </w:rPr>
        <w:t xml:space="preserve"> a</w:t>
      </w:r>
      <w:r w:rsidR="00BA16E1">
        <w:rPr>
          <w:b/>
        </w:rPr>
        <w:t xml:space="preserve">. </w:t>
      </w:r>
      <w:r w:rsidR="00DE4E90">
        <w:rPr>
          <w:bCs/>
        </w:rPr>
        <w:t>Recent</w:t>
      </w:r>
      <w:r w:rsidR="004164C2" w:rsidRPr="0019756B">
        <w:rPr>
          <w:bCs/>
        </w:rPr>
        <w:t xml:space="preserve"> work using the CEQ methodology</w:t>
      </w:r>
      <w:r w:rsidR="00F80A2C" w:rsidRPr="0019756B">
        <w:rPr>
          <w:bCs/>
        </w:rPr>
        <w:t xml:space="preserve"> documents that </w:t>
      </w:r>
      <w:r w:rsidR="008764AB" w:rsidRPr="0019756B">
        <w:rPr>
          <w:bCs/>
        </w:rPr>
        <w:t xml:space="preserve">Uruguayan fiscal policy </w:t>
      </w:r>
      <w:r w:rsidR="00C24B21">
        <w:rPr>
          <w:bCs/>
        </w:rPr>
        <w:t xml:space="preserve">is progressive and </w:t>
      </w:r>
      <w:r w:rsidR="008764AB" w:rsidRPr="0019756B">
        <w:rPr>
          <w:bCs/>
        </w:rPr>
        <w:t>reduces</w:t>
      </w:r>
      <w:r w:rsidR="00B04969" w:rsidRPr="0019756B">
        <w:rPr>
          <w:bCs/>
        </w:rPr>
        <w:t xml:space="preserve"> </w:t>
      </w:r>
      <w:r w:rsidR="002D7937">
        <w:rPr>
          <w:bCs/>
        </w:rPr>
        <w:t xml:space="preserve">income </w:t>
      </w:r>
      <w:r w:rsidR="00B04969" w:rsidRPr="0019756B">
        <w:rPr>
          <w:bCs/>
        </w:rPr>
        <w:t>inequality</w:t>
      </w:r>
      <w:r w:rsidR="00F65C32">
        <w:rPr>
          <w:bCs/>
        </w:rPr>
        <w:t xml:space="preserve"> among households</w:t>
      </w:r>
      <w:r w:rsidR="00D679BC" w:rsidRPr="0019756B">
        <w:rPr>
          <w:bCs/>
        </w:rPr>
        <w:t xml:space="preserve"> (</w:t>
      </w:r>
      <w:r w:rsidR="0019756B" w:rsidRPr="0019756B">
        <w:rPr>
          <w:rFonts w:cstheme="minorHAnsi"/>
          <w:bCs/>
          <w:shd w:val="clear" w:color="auto" w:fill="FFFFFF"/>
        </w:rPr>
        <w:t>Bucheli, Lara and Tuzman</w:t>
      </w:r>
      <w:r w:rsidR="0019756B">
        <w:rPr>
          <w:rFonts w:cstheme="minorHAnsi"/>
          <w:bCs/>
          <w:shd w:val="clear" w:color="auto" w:fill="FFFFFF"/>
        </w:rPr>
        <w:t xml:space="preserve">, </w:t>
      </w:r>
      <w:r w:rsidR="0019756B" w:rsidRPr="0019756B">
        <w:rPr>
          <w:rFonts w:cstheme="minorHAnsi"/>
          <w:bCs/>
          <w:shd w:val="clear" w:color="auto" w:fill="FFFFFF"/>
        </w:rPr>
        <w:t xml:space="preserve">2020). </w:t>
      </w:r>
      <w:r w:rsidR="005D4269" w:rsidRPr="0019756B">
        <w:rPr>
          <w:bCs/>
        </w:rPr>
        <w:t xml:space="preserve">Consistent with </w:t>
      </w:r>
      <w:r w:rsidR="0052598F">
        <w:rPr>
          <w:bCs/>
        </w:rPr>
        <w:t>th</w:t>
      </w:r>
      <w:r w:rsidR="00695C06">
        <w:rPr>
          <w:bCs/>
        </w:rPr>
        <w:t>ese</w:t>
      </w:r>
      <w:r w:rsidR="005D4269" w:rsidRPr="0019756B">
        <w:rPr>
          <w:bCs/>
        </w:rPr>
        <w:t xml:space="preserve"> </w:t>
      </w:r>
      <w:r w:rsidR="00CC7302">
        <w:rPr>
          <w:bCs/>
        </w:rPr>
        <w:t xml:space="preserve">results, we </w:t>
      </w:r>
      <w:r w:rsidR="00CC7302">
        <w:rPr>
          <w:bCs/>
        </w:rPr>
        <w:lastRenderedPageBreak/>
        <w:t xml:space="preserve">find that </w:t>
      </w:r>
      <w:r w:rsidR="00A739DD">
        <w:rPr>
          <w:bCs/>
        </w:rPr>
        <w:t xml:space="preserve">households </w:t>
      </w:r>
      <w:r w:rsidR="00FE346A">
        <w:rPr>
          <w:bCs/>
        </w:rPr>
        <w:t xml:space="preserve">with a higher likelihood to fall into poverty, such as </w:t>
      </w:r>
      <w:r w:rsidR="00CC58A1">
        <w:rPr>
          <w:bCs/>
        </w:rPr>
        <w:t>those with only female earners,</w:t>
      </w:r>
      <w:r w:rsidR="00CC192A">
        <w:rPr>
          <w:bCs/>
        </w:rPr>
        <w:t xml:space="preserve"> </w:t>
      </w:r>
      <w:r w:rsidR="00515282">
        <w:rPr>
          <w:bCs/>
        </w:rPr>
        <w:t xml:space="preserve">are </w:t>
      </w:r>
      <w:r w:rsidR="00D467BD">
        <w:rPr>
          <w:bCs/>
        </w:rPr>
        <w:t xml:space="preserve">the ones </w:t>
      </w:r>
      <w:r w:rsidR="002879E3">
        <w:rPr>
          <w:bCs/>
        </w:rPr>
        <w:t>that show</w:t>
      </w:r>
      <w:r w:rsidR="00E7691B">
        <w:rPr>
          <w:bCs/>
        </w:rPr>
        <w:t xml:space="preserve"> the lowest incidence</w:t>
      </w:r>
      <w:r w:rsidR="00641597">
        <w:rPr>
          <w:bCs/>
        </w:rPr>
        <w:t xml:space="preserve"> of direct taxes (relative to their pre-fiscal income)</w:t>
      </w:r>
      <w:r w:rsidR="001C49F5">
        <w:rPr>
          <w:bCs/>
        </w:rPr>
        <w:t xml:space="preserve"> and</w:t>
      </w:r>
      <w:r w:rsidR="00BA16E1" w:rsidRPr="00BA16E1">
        <w:rPr>
          <w:bCs/>
        </w:rPr>
        <w:t xml:space="preserve"> the highest </w:t>
      </w:r>
      <w:r w:rsidR="001C49F5">
        <w:rPr>
          <w:bCs/>
        </w:rPr>
        <w:t>incidence</w:t>
      </w:r>
      <w:r w:rsidR="00726585">
        <w:rPr>
          <w:bCs/>
        </w:rPr>
        <w:t xml:space="preserve"> of direct transfers</w:t>
      </w:r>
      <w:r w:rsidR="00CC192A">
        <w:rPr>
          <w:bCs/>
        </w:rPr>
        <w:t>.</w:t>
      </w:r>
      <w:r w:rsidR="003D2052">
        <w:rPr>
          <w:b/>
        </w:rPr>
        <w:t xml:space="preserve"> </w:t>
      </w:r>
      <w:r w:rsidR="00403709" w:rsidRPr="00403709">
        <w:rPr>
          <w:bCs/>
        </w:rPr>
        <w:t>Conversely</w:t>
      </w:r>
      <w:r w:rsidR="00403709">
        <w:rPr>
          <w:b/>
        </w:rPr>
        <w:t>,</w:t>
      </w:r>
      <w:r w:rsidR="006449BB">
        <w:rPr>
          <w:b/>
        </w:rPr>
        <w:t xml:space="preserve"> </w:t>
      </w:r>
      <w:r w:rsidR="00403709">
        <w:rPr>
          <w:bCs/>
        </w:rPr>
        <w:t>h</w:t>
      </w:r>
      <w:r w:rsidR="00655DD1">
        <w:rPr>
          <w:bCs/>
        </w:rPr>
        <w:t xml:space="preserve">ouseholds with both male and female earners are the ones </w:t>
      </w:r>
      <w:r w:rsidR="003F62BB">
        <w:rPr>
          <w:bCs/>
        </w:rPr>
        <w:t xml:space="preserve">that pay </w:t>
      </w:r>
      <w:r w:rsidR="00554754">
        <w:rPr>
          <w:bCs/>
        </w:rPr>
        <w:t xml:space="preserve">higher </w:t>
      </w:r>
      <w:r w:rsidR="003F62BB">
        <w:rPr>
          <w:bCs/>
        </w:rPr>
        <w:t xml:space="preserve">direct taxes </w:t>
      </w:r>
      <w:r w:rsidR="00B535CF">
        <w:rPr>
          <w:bCs/>
        </w:rPr>
        <w:t>as a share of</w:t>
      </w:r>
      <w:r w:rsidR="003F62BB">
        <w:rPr>
          <w:bCs/>
        </w:rPr>
        <w:t xml:space="preserve"> their incomes</w:t>
      </w:r>
      <w:r w:rsidR="00B535CF">
        <w:rPr>
          <w:bCs/>
        </w:rPr>
        <w:t xml:space="preserve"> and receive lower direct transfers</w:t>
      </w:r>
      <w:r w:rsidR="00655DD1">
        <w:rPr>
          <w:bCs/>
        </w:rPr>
        <w:t>.</w:t>
      </w:r>
      <w:r w:rsidR="00C7167F">
        <w:rPr>
          <w:bCs/>
        </w:rPr>
        <w:t xml:space="preserve"> </w:t>
      </w:r>
    </w:p>
    <w:p w14:paraId="7CC1EA80" w14:textId="6128F368" w:rsidR="00406185" w:rsidRDefault="004C7828" w:rsidP="00096AA3">
      <w:pPr>
        <w:pStyle w:val="ListParagraph"/>
        <w:spacing w:before="120" w:after="120" w:line="257" w:lineRule="auto"/>
        <w:ind w:left="0"/>
        <w:contextualSpacing w:val="0"/>
      </w:pPr>
      <w:r w:rsidRPr="00C32EE2">
        <w:rPr>
          <w:b/>
        </w:rPr>
        <w:t>Direct fiscal interventions</w:t>
      </w:r>
      <w:r w:rsidR="008B4F7A" w:rsidRPr="00C32EE2">
        <w:rPr>
          <w:b/>
        </w:rPr>
        <w:t xml:space="preserve"> </w:t>
      </w:r>
      <w:r w:rsidR="00A674C8" w:rsidRPr="00C32EE2">
        <w:rPr>
          <w:b/>
        </w:rPr>
        <w:t>in Uruguay</w:t>
      </w:r>
      <w:r w:rsidR="00723B96" w:rsidRPr="00C32EE2">
        <w:rPr>
          <w:b/>
        </w:rPr>
        <w:t xml:space="preserve"> not only reduce inequality but also</w:t>
      </w:r>
      <w:r w:rsidR="00A674C8" w:rsidRPr="00C32EE2">
        <w:rPr>
          <w:b/>
        </w:rPr>
        <w:t xml:space="preserve"> </w:t>
      </w:r>
      <w:r w:rsidR="00196A3B" w:rsidRPr="00C32EE2">
        <w:rPr>
          <w:b/>
        </w:rPr>
        <w:t>contribute to poverty reduction across all types of households</w:t>
      </w:r>
      <w:r w:rsidR="000346ED" w:rsidRPr="00C32EE2">
        <w:rPr>
          <w:b/>
        </w:rPr>
        <w:t xml:space="preserve">, </w:t>
      </w:r>
      <w:r w:rsidR="00190482" w:rsidRPr="00C32EE2">
        <w:rPr>
          <w:b/>
        </w:rPr>
        <w:t>especially</w:t>
      </w:r>
      <w:r w:rsidR="00887CF4" w:rsidRPr="00C32EE2">
        <w:rPr>
          <w:b/>
        </w:rPr>
        <w:t xml:space="preserve"> in those that</w:t>
      </w:r>
      <w:r w:rsidR="006777B4" w:rsidRPr="00C32EE2">
        <w:rPr>
          <w:b/>
        </w:rPr>
        <w:t xml:space="preserve"> face higher pre-fiscal poverty rates</w:t>
      </w:r>
      <w:r w:rsidR="00C77A3C" w:rsidRPr="00C32EE2">
        <w:rPr>
          <w:b/>
        </w:rPr>
        <w:t>.</w:t>
      </w:r>
      <w:r w:rsidR="00251EB4">
        <w:rPr>
          <w:bCs/>
        </w:rPr>
        <w:t xml:space="preserve"> For example, </w:t>
      </w:r>
      <w:r w:rsidR="008F2277">
        <w:rPr>
          <w:bCs/>
        </w:rPr>
        <w:t xml:space="preserve">we find that </w:t>
      </w:r>
      <w:r w:rsidR="00A910F3">
        <w:rPr>
          <w:bCs/>
        </w:rPr>
        <w:t xml:space="preserve">direct taxes and transfers </w:t>
      </w:r>
      <w:r w:rsidR="007B251A">
        <w:rPr>
          <w:bCs/>
        </w:rPr>
        <w:t xml:space="preserve">reduce poverty by 3-percentage points in </w:t>
      </w:r>
      <w:r w:rsidR="006D2A87">
        <w:rPr>
          <w:bCs/>
        </w:rPr>
        <w:t>households with only female earners, whereas</w:t>
      </w:r>
      <w:r w:rsidR="00ED0B4F">
        <w:rPr>
          <w:bCs/>
        </w:rPr>
        <w:t xml:space="preserve"> they </w:t>
      </w:r>
      <w:r w:rsidR="008336EA">
        <w:rPr>
          <w:bCs/>
        </w:rPr>
        <w:t>reduce poverty</w:t>
      </w:r>
      <w:r w:rsidR="00D5176F">
        <w:rPr>
          <w:bCs/>
        </w:rPr>
        <w:t xml:space="preserve"> by</w:t>
      </w:r>
      <w:r w:rsidR="0037538B">
        <w:rPr>
          <w:bCs/>
        </w:rPr>
        <w:t xml:space="preserve"> 1 percentage point </w:t>
      </w:r>
      <w:r w:rsidR="00E5029A" w:rsidRPr="00EF5A91">
        <w:rPr>
          <w:bCs/>
        </w:rPr>
        <w:t>i</w:t>
      </w:r>
      <w:r w:rsidR="002C2E0B" w:rsidRPr="00EF5A91">
        <w:rPr>
          <w:bCs/>
        </w:rPr>
        <w:t>n</w:t>
      </w:r>
      <w:r w:rsidR="00E5029A" w:rsidRPr="005C0CE7">
        <w:rPr>
          <w:bCs/>
        </w:rPr>
        <w:t xml:space="preserve"> </w:t>
      </w:r>
      <w:r w:rsidR="00351EB7" w:rsidRPr="005835A7">
        <w:rPr>
          <w:bCs/>
        </w:rPr>
        <w:t>equal-earne</w:t>
      </w:r>
      <w:r w:rsidR="00351EB7" w:rsidRPr="002C2E0B">
        <w:rPr>
          <w:bCs/>
        </w:rPr>
        <w:t>r households</w:t>
      </w:r>
      <w:r w:rsidR="00351EB7" w:rsidRPr="00EF5A91">
        <w:rPr>
          <w:bCs/>
        </w:rPr>
        <w:t>.</w:t>
      </w:r>
      <w:r w:rsidR="00C73E5C">
        <w:rPr>
          <w:bCs/>
        </w:rPr>
        <w:t xml:space="preserve"> </w:t>
      </w:r>
      <w:r w:rsidR="006B00DE">
        <w:t xml:space="preserve">These results </w:t>
      </w:r>
      <w:r w:rsidR="0040535B">
        <w:t xml:space="preserve">highlight </w:t>
      </w:r>
      <w:r w:rsidR="006B00DE">
        <w:t xml:space="preserve">the importance of </w:t>
      </w:r>
      <w:r w:rsidR="0093453F" w:rsidRPr="001456B3">
        <w:t>incorporating a gender lens</w:t>
      </w:r>
      <w:r w:rsidR="001456B3" w:rsidRPr="001456B3">
        <w:t xml:space="preserve"> </w:t>
      </w:r>
      <w:r w:rsidR="0093453F" w:rsidRPr="001456B3">
        <w:t xml:space="preserve">into fiscal </w:t>
      </w:r>
      <w:r w:rsidR="00AE58B7">
        <w:t xml:space="preserve">incidence </w:t>
      </w:r>
      <w:r w:rsidR="0093453F" w:rsidRPr="001456B3">
        <w:t>analysis</w:t>
      </w:r>
      <w:r w:rsidR="00B41462">
        <w:t xml:space="preserve"> </w:t>
      </w:r>
      <w:r w:rsidR="003B381B">
        <w:t>to better understand</w:t>
      </w:r>
      <w:r w:rsidR="00E5022A">
        <w:t xml:space="preserve"> </w:t>
      </w:r>
      <w:r w:rsidR="000F744A">
        <w:t xml:space="preserve">the implications of </w:t>
      </w:r>
      <w:r w:rsidR="00212B3E">
        <w:t xml:space="preserve">fiscal </w:t>
      </w:r>
      <w:r w:rsidR="00E2756C">
        <w:t xml:space="preserve">policy </w:t>
      </w:r>
      <w:r w:rsidR="003173F2">
        <w:t xml:space="preserve">under </w:t>
      </w:r>
      <w:r w:rsidR="0085147B">
        <w:t xml:space="preserve">different </w:t>
      </w:r>
      <w:r w:rsidR="002B6AF7">
        <w:t xml:space="preserve">intra-household </w:t>
      </w:r>
      <w:r w:rsidR="00E17391">
        <w:t xml:space="preserve">economic participation and </w:t>
      </w:r>
      <w:r w:rsidR="0085147B">
        <w:t>earn</w:t>
      </w:r>
      <w:r w:rsidR="00E17391">
        <w:t>ings</w:t>
      </w:r>
      <w:r w:rsidR="00BB47C7">
        <w:t xml:space="preserve"> composition</w:t>
      </w:r>
      <w:r w:rsidR="00B4174B">
        <w:t>.</w:t>
      </w:r>
    </w:p>
    <w:p w14:paraId="248408B6" w14:textId="14D36F90" w:rsidR="0003188E" w:rsidRDefault="003803DA" w:rsidP="00096AA3">
      <w:pPr>
        <w:pStyle w:val="ListParagraph"/>
        <w:spacing w:before="120" w:after="120" w:line="257" w:lineRule="auto"/>
        <w:ind w:left="0"/>
        <w:contextualSpacing w:val="0"/>
      </w:pPr>
      <w:r>
        <w:rPr>
          <w:b/>
          <w:bCs/>
        </w:rPr>
        <w:t>The work presented in this paper</w:t>
      </w:r>
      <w:r w:rsidR="0063437C" w:rsidRPr="00FC4CF5">
        <w:rPr>
          <w:b/>
          <w:bCs/>
        </w:rPr>
        <w:t xml:space="preserve"> is organized as follows</w:t>
      </w:r>
      <w:r w:rsidR="0021637C">
        <w:t>.</w:t>
      </w:r>
      <w:r w:rsidR="008A6AEE" w:rsidRPr="008C612A">
        <w:t xml:space="preserve"> </w:t>
      </w:r>
      <w:r w:rsidR="00A13090">
        <w:t>Section 2</w:t>
      </w:r>
      <w:r w:rsidR="009050BF">
        <w:t xml:space="preserve"> </w:t>
      </w:r>
      <w:r w:rsidR="00FE1081">
        <w:t>provides an overview of</w:t>
      </w:r>
      <w:r w:rsidR="008C612A">
        <w:t xml:space="preserve"> </w:t>
      </w:r>
      <w:r w:rsidR="00F60418">
        <w:t xml:space="preserve">the status of </w:t>
      </w:r>
      <w:r w:rsidR="008C612A">
        <w:t>gender equality</w:t>
      </w:r>
      <w:r w:rsidR="00A505CB">
        <w:t xml:space="preserve"> in Uruguay</w:t>
      </w:r>
      <w:r w:rsidR="00C72AB6">
        <w:t xml:space="preserve"> across multiple dimensions</w:t>
      </w:r>
      <w:r w:rsidR="0021637C">
        <w:t xml:space="preserve">. </w:t>
      </w:r>
      <w:r w:rsidR="00A505CB">
        <w:t xml:space="preserve">Section </w:t>
      </w:r>
      <w:r w:rsidR="00A0440E">
        <w:t>3</w:t>
      </w:r>
      <w:r w:rsidR="008C612A">
        <w:t xml:space="preserve"> </w:t>
      </w:r>
      <w:r w:rsidR="00B56572">
        <w:t xml:space="preserve">reviews </w:t>
      </w:r>
      <w:r w:rsidR="00B0123E">
        <w:t xml:space="preserve">previous work on </w:t>
      </w:r>
      <w:r w:rsidR="008C612A">
        <w:t xml:space="preserve">the distributive impact of the fiscal system in Uruguay. </w:t>
      </w:r>
      <w:r w:rsidR="00525906">
        <w:t>Section 4</w:t>
      </w:r>
      <w:r w:rsidR="008C612A">
        <w:t xml:space="preserve"> </w:t>
      </w:r>
      <w:r>
        <w:t xml:space="preserve">describes the constructed </w:t>
      </w:r>
      <w:r w:rsidR="008E2FF9">
        <w:t xml:space="preserve">typologies of households </w:t>
      </w:r>
      <w:r w:rsidR="00B105B3">
        <w:t xml:space="preserve">and </w:t>
      </w:r>
      <w:r w:rsidR="00C476E6">
        <w:t xml:space="preserve">describes </w:t>
      </w:r>
      <w:r w:rsidR="008E0DB4">
        <w:t xml:space="preserve">both their relative importance in the population as well as their main </w:t>
      </w:r>
      <w:r w:rsidR="00416AAA">
        <w:t xml:space="preserve">demographic </w:t>
      </w:r>
      <w:r w:rsidR="00C82038">
        <w:t xml:space="preserve">and </w:t>
      </w:r>
      <w:r w:rsidR="002D08BD">
        <w:t xml:space="preserve">socio-economic </w:t>
      </w:r>
      <w:r w:rsidR="008E0DB4">
        <w:t>characteristics.</w:t>
      </w:r>
      <w:r w:rsidR="00823C95">
        <w:t xml:space="preserve"> These categories are then used to </w:t>
      </w:r>
      <w:r w:rsidR="00000BD7">
        <w:t xml:space="preserve">study the differential effects of fiscal policy </w:t>
      </w:r>
      <w:r w:rsidR="003C4424">
        <w:t xml:space="preserve">on households with </w:t>
      </w:r>
      <w:r w:rsidR="00FC5C3B">
        <w:t xml:space="preserve">a </w:t>
      </w:r>
      <w:r w:rsidR="00C05FBA">
        <w:t xml:space="preserve">different gender composition. Section 5 </w:t>
      </w:r>
      <w:r w:rsidR="00E17391">
        <w:t>presents an application of</w:t>
      </w:r>
      <w:r w:rsidR="00B15B72">
        <w:t xml:space="preserve"> a microsimulation model to estimate </w:t>
      </w:r>
      <w:r w:rsidR="00824781">
        <w:t xml:space="preserve">the distributional </w:t>
      </w:r>
      <w:r w:rsidR="00C46EE0">
        <w:t>effects</w:t>
      </w:r>
      <w:r w:rsidR="00824781">
        <w:t xml:space="preserve"> of direct fiscal interventions under a </w:t>
      </w:r>
      <w:r w:rsidR="00B15B72">
        <w:t xml:space="preserve">hypothetical increase in female labor force participation. Section 6 </w:t>
      </w:r>
      <w:r w:rsidR="00C05FBA">
        <w:t xml:space="preserve">discusses the </w:t>
      </w:r>
      <w:r w:rsidR="00381A5D">
        <w:t>emerging</w:t>
      </w:r>
      <w:r w:rsidR="00C05FBA">
        <w:t xml:space="preserve"> results and areas </w:t>
      </w:r>
      <w:r w:rsidR="002E6EA4">
        <w:t>of</w:t>
      </w:r>
      <w:r w:rsidR="00C05FBA">
        <w:t xml:space="preserve"> future work.</w:t>
      </w:r>
    </w:p>
    <w:p w14:paraId="1C6048BC" w14:textId="77777777" w:rsidR="00130EB7" w:rsidRDefault="00130EB7" w:rsidP="00096AA3">
      <w:pPr>
        <w:pStyle w:val="ListParagraph"/>
        <w:spacing w:before="120" w:after="120" w:line="257" w:lineRule="auto"/>
        <w:ind w:left="0"/>
        <w:contextualSpacing w:val="0"/>
      </w:pPr>
    </w:p>
    <w:p w14:paraId="6F13E28A" w14:textId="77777777" w:rsidR="00130EB7" w:rsidRPr="006E7D82" w:rsidRDefault="00130EB7" w:rsidP="007F1591">
      <w:pPr>
        <w:pStyle w:val="Heading2"/>
        <w:numPr>
          <w:ilvl w:val="0"/>
          <w:numId w:val="5"/>
        </w:numPr>
      </w:pPr>
      <w:bookmarkStart w:id="3" w:name="_Toc136425141"/>
      <w:r>
        <w:t>Standard d</w:t>
      </w:r>
      <w:r w:rsidRPr="006E7D82">
        <w:t xml:space="preserve">istributive impact of the fiscal system </w:t>
      </w:r>
      <w:r>
        <w:t>in Uruguay</w:t>
      </w:r>
      <w:bookmarkEnd w:id="3"/>
    </w:p>
    <w:p w14:paraId="68E6B4A0" w14:textId="77777777" w:rsidR="00130EB7" w:rsidRPr="002B0843" w:rsidRDefault="00130EB7" w:rsidP="00130EB7">
      <w:pPr>
        <w:pStyle w:val="ListParagraph"/>
        <w:spacing w:before="120" w:after="120" w:line="257" w:lineRule="auto"/>
        <w:ind w:left="0"/>
        <w:contextualSpacing w:val="0"/>
        <w:rPr>
          <w:rFonts w:cstheme="minorHAnsi"/>
          <w:color w:val="333333"/>
          <w:shd w:val="clear" w:color="auto" w:fill="FFFFFF"/>
        </w:rPr>
      </w:pPr>
      <w:r w:rsidRPr="002B0843">
        <w:rPr>
          <w:rFonts w:cstheme="minorHAnsi"/>
          <w:b/>
          <w:bCs/>
          <w:color w:val="333333"/>
          <w:shd w:val="clear" w:color="auto" w:fill="FFFFFF"/>
        </w:rPr>
        <w:t xml:space="preserve">The CEQ methodology for fiscal incidence analysis is based on household data and helps understand how much income redistribution and poverty reduction </w:t>
      </w:r>
      <w:r>
        <w:rPr>
          <w:rFonts w:cstheme="minorHAnsi"/>
          <w:b/>
          <w:bCs/>
          <w:color w:val="333333"/>
          <w:shd w:val="clear" w:color="auto" w:fill="FFFFFF"/>
        </w:rPr>
        <w:t>is</w:t>
      </w:r>
      <w:r w:rsidRPr="002B0843">
        <w:rPr>
          <w:rFonts w:cstheme="minorHAnsi"/>
          <w:b/>
          <w:bCs/>
          <w:color w:val="333333"/>
          <w:shd w:val="clear" w:color="auto" w:fill="FFFFFF"/>
        </w:rPr>
        <w:t xml:space="preserve"> accomplished through fiscal policy in a country.</w:t>
      </w:r>
      <w:r w:rsidRPr="002B0843">
        <w:rPr>
          <w:rFonts w:cstheme="minorHAnsi"/>
          <w:color w:val="333333"/>
          <w:shd w:val="clear" w:color="auto" w:fill="FFFFFF"/>
        </w:rPr>
        <w:t xml:space="preserve"> This methodology guides the construction of the pre</w:t>
      </w:r>
      <w:r>
        <w:rPr>
          <w:rFonts w:cstheme="minorHAnsi"/>
          <w:color w:val="333333"/>
          <w:shd w:val="clear" w:color="auto" w:fill="FFFFFF"/>
        </w:rPr>
        <w:t>-</w:t>
      </w:r>
      <w:r w:rsidRPr="002B0843">
        <w:rPr>
          <w:rFonts w:cstheme="minorHAnsi"/>
          <w:color w:val="333333"/>
          <w:shd w:val="clear" w:color="auto" w:fill="FFFFFF"/>
        </w:rPr>
        <w:t xml:space="preserve"> and post</w:t>
      </w:r>
      <w:r>
        <w:rPr>
          <w:rFonts w:cstheme="minorHAnsi"/>
          <w:color w:val="333333"/>
          <w:shd w:val="clear" w:color="auto" w:fill="FFFFFF"/>
        </w:rPr>
        <w:t>-</w:t>
      </w:r>
      <w:r w:rsidRPr="002B0843">
        <w:rPr>
          <w:rFonts w:cstheme="minorHAnsi"/>
          <w:color w:val="333333"/>
          <w:shd w:val="clear" w:color="auto" w:fill="FFFFFF"/>
        </w:rPr>
        <w:t xml:space="preserve"> fiscal income concepts with consistent assumptions that allow international comparisons for measuring how equalizing and pro-poor </w:t>
      </w:r>
      <w:proofErr w:type="gramStart"/>
      <w:r w:rsidRPr="002B0843">
        <w:rPr>
          <w:rFonts w:cstheme="minorHAnsi"/>
          <w:color w:val="333333"/>
          <w:shd w:val="clear" w:color="auto" w:fill="FFFFFF"/>
        </w:rPr>
        <w:t>are specific taxes and government spending</w:t>
      </w:r>
      <w:proofErr w:type="gramEnd"/>
      <w:r w:rsidRPr="002B0843">
        <w:rPr>
          <w:rFonts w:cstheme="minorHAnsi"/>
          <w:color w:val="333333"/>
          <w:shd w:val="clear" w:color="auto" w:fill="FFFFFF"/>
        </w:rPr>
        <w:t xml:space="preserve">. </w:t>
      </w:r>
      <w:r>
        <w:rPr>
          <w:rFonts w:cstheme="minorHAnsi"/>
          <w:color w:val="333333"/>
          <w:shd w:val="clear" w:color="auto" w:fill="FFFFFF"/>
        </w:rPr>
        <w:fldChar w:fldCharType="begin"/>
      </w:r>
      <w:r>
        <w:rPr>
          <w:rFonts w:cstheme="minorHAnsi"/>
          <w:color w:val="333333"/>
          <w:shd w:val="clear" w:color="auto" w:fill="FFFFFF"/>
        </w:rPr>
        <w:instrText xml:space="preserve"> REF _Ref75187923 \h </w:instrText>
      </w:r>
      <w:r>
        <w:rPr>
          <w:rFonts w:cstheme="minorHAnsi"/>
          <w:color w:val="333333"/>
          <w:shd w:val="clear" w:color="auto" w:fill="FFFFFF"/>
        </w:rPr>
      </w:r>
      <w:r>
        <w:rPr>
          <w:rFonts w:cstheme="minorHAnsi"/>
          <w:color w:val="333333"/>
          <w:shd w:val="clear" w:color="auto" w:fill="FFFFFF"/>
        </w:rPr>
        <w:fldChar w:fldCharType="separate"/>
      </w:r>
      <w:r w:rsidRPr="0091340B">
        <w:t xml:space="preserve">Figure </w:t>
      </w:r>
      <w:r>
        <w:rPr>
          <w:noProof/>
        </w:rPr>
        <w:t>1</w:t>
      </w:r>
      <w:r>
        <w:rPr>
          <w:rFonts w:cstheme="minorHAnsi"/>
          <w:color w:val="333333"/>
          <w:shd w:val="clear" w:color="auto" w:fill="FFFFFF"/>
        </w:rPr>
        <w:fldChar w:fldCharType="end"/>
      </w:r>
      <w:r>
        <w:rPr>
          <w:rFonts w:cstheme="minorHAnsi"/>
          <w:color w:val="333333"/>
          <w:shd w:val="clear" w:color="auto" w:fill="FFFFFF"/>
        </w:rPr>
        <w:t xml:space="preserve"> describes a simplified version of the basic pre- and post- fiscal </w:t>
      </w:r>
      <w:r w:rsidRPr="00612BEE">
        <w:t>income</w:t>
      </w:r>
      <w:r>
        <w:rPr>
          <w:rFonts w:cstheme="minorHAnsi"/>
          <w:color w:val="333333"/>
          <w:shd w:val="clear" w:color="auto" w:fill="FFFFFF"/>
        </w:rPr>
        <w:t xml:space="preserve"> concepts built for the analysis.</w:t>
      </w:r>
    </w:p>
    <w:p w14:paraId="75AC5EEC" w14:textId="6E372D1C" w:rsidR="00130EB7" w:rsidRPr="002B0843" w:rsidRDefault="00130EB7" w:rsidP="00130EB7">
      <w:pPr>
        <w:pStyle w:val="ListParagraph"/>
        <w:spacing w:before="120" w:after="120" w:line="257" w:lineRule="auto"/>
        <w:ind w:left="0"/>
        <w:contextualSpacing w:val="0"/>
        <w:rPr>
          <w:rFonts w:cstheme="minorHAnsi"/>
          <w:color w:val="333333"/>
          <w:shd w:val="clear" w:color="auto" w:fill="FFFFFF"/>
        </w:rPr>
      </w:pPr>
      <w:r>
        <w:rPr>
          <w:rFonts w:cstheme="minorHAnsi"/>
          <w:b/>
          <w:shd w:val="clear" w:color="auto" w:fill="FFFFFF"/>
        </w:rPr>
        <w:t xml:space="preserve">Previous work using the CEQ methodology documents that Uruguayan fiscal policy reduces inequality, with in-kind transfers leading to the largest decrease. </w:t>
      </w:r>
      <w:r w:rsidRPr="00E36F42">
        <w:rPr>
          <w:rFonts w:cstheme="minorHAnsi"/>
          <w:shd w:val="clear" w:color="auto" w:fill="FFFFFF"/>
        </w:rPr>
        <w:t xml:space="preserve">Bucheli, Lara and Tuzman (2020) apply the CEQ methodology to household survey data and government data for fiscal year 2017 to look at the redistributive effects of fiscal policy - </w:t>
      </w:r>
      <w:proofErr w:type="gramStart"/>
      <w:r w:rsidRPr="00E36F42">
        <w:rPr>
          <w:rFonts w:cstheme="minorHAnsi"/>
          <w:shd w:val="clear" w:color="auto" w:fill="FFFFFF"/>
        </w:rPr>
        <w:t>in particular of</w:t>
      </w:r>
      <w:proofErr w:type="gramEnd"/>
      <w:r w:rsidRPr="00E36F42">
        <w:rPr>
          <w:rFonts w:cstheme="minorHAnsi"/>
          <w:shd w:val="clear" w:color="auto" w:fill="FFFFFF"/>
        </w:rPr>
        <w:t xml:space="preserve"> direct taxation and expenditures - in Uruguay</w:t>
      </w:r>
      <w:r w:rsidRPr="006C21DF">
        <w:rPr>
          <w:rFonts w:cstheme="minorHAnsi"/>
          <w:shd w:val="clear" w:color="auto" w:fill="FFFFFF"/>
        </w:rPr>
        <w:t xml:space="preserve">. </w:t>
      </w:r>
      <w:r>
        <w:rPr>
          <w:rFonts w:cstheme="minorHAnsi"/>
          <w:shd w:val="clear" w:color="auto" w:fill="FFFFFF"/>
        </w:rPr>
        <w:t xml:space="preserve">They </w:t>
      </w:r>
      <w:r w:rsidRPr="006C21DF">
        <w:rPr>
          <w:rFonts w:cstheme="minorHAnsi"/>
          <w:shd w:val="clear" w:color="auto" w:fill="FFFFFF"/>
        </w:rPr>
        <w:t xml:space="preserve">compare the results with the policies </w:t>
      </w:r>
      <w:r>
        <w:rPr>
          <w:rFonts w:cstheme="minorHAnsi"/>
          <w:shd w:val="clear" w:color="auto" w:fill="FFFFFF"/>
        </w:rPr>
        <w:t>used</w:t>
      </w:r>
      <w:r w:rsidRPr="006C21DF">
        <w:rPr>
          <w:rFonts w:cstheme="minorHAnsi"/>
          <w:shd w:val="clear" w:color="auto" w:fill="FFFFFF"/>
        </w:rPr>
        <w:t xml:space="preserve"> in 2009 to study the evolution of the distributional impacts of fiscal policy in the country.</w:t>
      </w:r>
      <w:r>
        <w:rPr>
          <w:rFonts w:cstheme="minorHAnsi"/>
          <w:shd w:val="clear" w:color="auto" w:fill="FFFFFF"/>
        </w:rPr>
        <w:t xml:space="preserve"> </w:t>
      </w:r>
      <w:r w:rsidRPr="006C21DF">
        <w:rPr>
          <w:rFonts w:cstheme="minorHAnsi"/>
          <w:shd w:val="clear" w:color="auto" w:fill="FFFFFF"/>
        </w:rPr>
        <w:t>The</w:t>
      </w:r>
      <w:r>
        <w:rPr>
          <w:rFonts w:cstheme="minorHAnsi"/>
          <w:shd w:val="clear" w:color="auto" w:fill="FFFFFF"/>
        </w:rPr>
        <w:t xml:space="preserve">ir findings suggest </w:t>
      </w:r>
      <w:r w:rsidRPr="006C21DF">
        <w:rPr>
          <w:rFonts w:cstheme="minorHAnsi"/>
          <w:shd w:val="clear" w:color="auto" w:fill="FFFFFF"/>
        </w:rPr>
        <w:t xml:space="preserve">that Uruguayan </w:t>
      </w:r>
      <w:r w:rsidR="009B2D3E">
        <w:rPr>
          <w:rFonts w:cstheme="minorHAnsi"/>
          <w:shd w:val="clear" w:color="auto" w:fill="FFFFFF"/>
        </w:rPr>
        <w:t xml:space="preserve">direct </w:t>
      </w:r>
      <w:r w:rsidRPr="006C21DF">
        <w:rPr>
          <w:rFonts w:cstheme="minorHAnsi"/>
          <w:shd w:val="clear" w:color="auto" w:fill="FFFFFF"/>
        </w:rPr>
        <w:t xml:space="preserve">fiscal policy </w:t>
      </w:r>
      <w:r>
        <w:rPr>
          <w:rFonts w:cstheme="minorHAnsi"/>
          <w:shd w:val="clear" w:color="auto" w:fill="FFFFFF"/>
        </w:rPr>
        <w:t>in 2017</w:t>
      </w:r>
      <w:r w:rsidRPr="006C21DF">
        <w:rPr>
          <w:rFonts w:cstheme="minorHAnsi"/>
          <w:shd w:val="clear" w:color="auto" w:fill="FFFFFF"/>
        </w:rPr>
        <w:t xml:space="preserve"> reduce</w:t>
      </w:r>
      <w:r>
        <w:rPr>
          <w:rFonts w:cstheme="minorHAnsi"/>
          <w:shd w:val="clear" w:color="auto" w:fill="FFFFFF"/>
        </w:rPr>
        <w:t>s</w:t>
      </w:r>
      <w:r w:rsidRPr="006C21DF">
        <w:rPr>
          <w:rFonts w:cstheme="minorHAnsi"/>
          <w:shd w:val="clear" w:color="auto" w:fill="FFFFFF"/>
        </w:rPr>
        <w:t xml:space="preserve"> inequality</w:t>
      </w:r>
      <w:r>
        <w:rPr>
          <w:rFonts w:cstheme="minorHAnsi"/>
          <w:shd w:val="clear" w:color="auto" w:fill="FFFFFF"/>
        </w:rPr>
        <w:t xml:space="preserve"> by a similar degree than fiscal policy in 2009</w:t>
      </w:r>
      <w:r w:rsidRPr="006C21DF">
        <w:rPr>
          <w:rFonts w:cstheme="minorHAnsi"/>
          <w:shd w:val="clear" w:color="auto" w:fill="FFFFFF"/>
        </w:rPr>
        <w:t>, with government expenditures in the form of in-kind transfers leading to the largest decreases</w:t>
      </w:r>
      <w:r>
        <w:rPr>
          <w:rFonts w:cstheme="minorHAnsi"/>
          <w:shd w:val="clear" w:color="auto" w:fill="FFFFFF"/>
        </w:rPr>
        <w:t xml:space="preserve"> in inequality</w:t>
      </w:r>
      <w:r w:rsidRPr="006C21DF">
        <w:rPr>
          <w:rFonts w:cstheme="minorHAnsi"/>
          <w:shd w:val="clear" w:color="auto" w:fill="FFFFFF"/>
        </w:rPr>
        <w:t xml:space="preserve">. While expenditures </w:t>
      </w:r>
      <w:proofErr w:type="gramStart"/>
      <w:r w:rsidRPr="006C21DF">
        <w:rPr>
          <w:rFonts w:cstheme="minorHAnsi"/>
          <w:shd w:val="clear" w:color="auto" w:fill="FFFFFF"/>
        </w:rPr>
        <w:t>in</w:t>
      </w:r>
      <w:proofErr w:type="gramEnd"/>
      <w:r w:rsidRPr="006C21DF">
        <w:rPr>
          <w:rFonts w:cstheme="minorHAnsi"/>
          <w:shd w:val="clear" w:color="auto" w:fill="FFFFFF"/>
        </w:rPr>
        <w:t xml:space="preserve"> basic education </w:t>
      </w:r>
      <w:r>
        <w:rPr>
          <w:rFonts w:cstheme="minorHAnsi"/>
          <w:shd w:val="clear" w:color="auto" w:fill="FFFFFF"/>
        </w:rPr>
        <w:t>benefit</w:t>
      </w:r>
      <w:r w:rsidRPr="006C21DF">
        <w:rPr>
          <w:rFonts w:cstheme="minorHAnsi"/>
          <w:shd w:val="clear" w:color="auto" w:fill="FFFFFF"/>
        </w:rPr>
        <w:t xml:space="preserve"> the poorest</w:t>
      </w:r>
      <w:r>
        <w:rPr>
          <w:rFonts w:cstheme="minorHAnsi"/>
          <w:shd w:val="clear" w:color="auto" w:fill="FFFFFF"/>
        </w:rPr>
        <w:t xml:space="preserve"> the most</w:t>
      </w:r>
      <w:r w:rsidRPr="006C21DF">
        <w:rPr>
          <w:rFonts w:cstheme="minorHAnsi"/>
          <w:shd w:val="clear" w:color="auto" w:fill="FFFFFF"/>
        </w:rPr>
        <w:t xml:space="preserve">, expenditures </w:t>
      </w:r>
      <w:proofErr w:type="gramStart"/>
      <w:r w:rsidRPr="006C21DF">
        <w:rPr>
          <w:rFonts w:cstheme="minorHAnsi"/>
          <w:shd w:val="clear" w:color="auto" w:fill="FFFFFF"/>
        </w:rPr>
        <w:t>in</w:t>
      </w:r>
      <w:proofErr w:type="gramEnd"/>
      <w:r w:rsidRPr="006C21DF">
        <w:rPr>
          <w:rFonts w:cstheme="minorHAnsi"/>
          <w:shd w:val="clear" w:color="auto" w:fill="FFFFFF"/>
        </w:rPr>
        <w:t xml:space="preserve"> tertiary education remain largely regressive. The personal income tax is found to be largely progressive</w:t>
      </w:r>
      <w:r>
        <w:rPr>
          <w:rFonts w:cstheme="minorHAnsi"/>
          <w:shd w:val="clear" w:color="auto" w:fill="FFFFFF"/>
        </w:rPr>
        <w:t xml:space="preserve"> in absolute terms</w:t>
      </w:r>
      <w:r w:rsidRPr="006C21DF">
        <w:rPr>
          <w:rFonts w:cstheme="minorHAnsi"/>
          <w:shd w:val="clear" w:color="auto" w:fill="FFFFFF"/>
        </w:rPr>
        <w:t>, with the top quintile paying more than four-fifths of this tax. Uruguay’s fiscal policies also lead to a reduction in poverty, mainly due to well-targeted direct transfers.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130EB7" w14:paraId="15E0F4AF" w14:textId="77777777" w:rsidTr="006B2AE2">
        <w:tc>
          <w:tcPr>
            <w:tcW w:w="9350" w:type="dxa"/>
          </w:tcPr>
          <w:p w14:paraId="70C28D26" w14:textId="77777777" w:rsidR="00130EB7" w:rsidRPr="0091340B" w:rsidRDefault="00130EB7" w:rsidP="006B2AE2">
            <w:pPr>
              <w:pStyle w:val="Caption"/>
              <w:keepNext/>
              <w:jc w:val="center"/>
              <w:rPr>
                <w:sz w:val="22"/>
                <w:szCs w:val="22"/>
              </w:rPr>
            </w:pPr>
            <w:bookmarkStart w:id="4" w:name="_Ref75187923"/>
            <w:r w:rsidRPr="0091340B">
              <w:rPr>
                <w:sz w:val="22"/>
                <w:szCs w:val="22"/>
              </w:rPr>
              <w:lastRenderedPageBreak/>
              <w:t xml:space="preserve">Figure </w:t>
            </w:r>
            <w:r>
              <w:rPr>
                <w:sz w:val="22"/>
                <w:szCs w:val="22"/>
              </w:rPr>
              <w:fldChar w:fldCharType="begin"/>
            </w:r>
            <w:r>
              <w:rPr>
                <w:sz w:val="22"/>
                <w:szCs w:val="22"/>
              </w:rPr>
              <w:instrText xml:space="preserve"> SEQ Figure \* ARABIC </w:instrText>
            </w:r>
            <w:r>
              <w:rPr>
                <w:sz w:val="22"/>
                <w:szCs w:val="22"/>
              </w:rPr>
              <w:fldChar w:fldCharType="separate"/>
            </w:r>
            <w:r>
              <w:rPr>
                <w:noProof/>
                <w:sz w:val="22"/>
                <w:szCs w:val="22"/>
              </w:rPr>
              <w:t>1</w:t>
            </w:r>
            <w:r>
              <w:rPr>
                <w:sz w:val="22"/>
                <w:szCs w:val="22"/>
              </w:rPr>
              <w:fldChar w:fldCharType="end"/>
            </w:r>
            <w:bookmarkEnd w:id="4"/>
            <w:r w:rsidRPr="0091340B">
              <w:rPr>
                <w:sz w:val="22"/>
                <w:szCs w:val="22"/>
              </w:rPr>
              <w:t>. Income Concepts, Simplified Framework</w:t>
            </w:r>
          </w:p>
          <w:p w14:paraId="72ADF019" w14:textId="77777777" w:rsidR="00130EB7" w:rsidRDefault="00130EB7" w:rsidP="006B2AE2">
            <w:pPr>
              <w:jc w:val="center"/>
            </w:pPr>
            <w:r>
              <w:rPr>
                <w:noProof/>
              </w:rPr>
              <w:drawing>
                <wp:inline distT="0" distB="0" distL="0" distR="0" wp14:anchorId="66073A88" wp14:editId="3E5D4DFF">
                  <wp:extent cx="3157728" cy="288290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157728" cy="2882900"/>
                          </a:xfrm>
                          <a:prstGeom prst="rect">
                            <a:avLst/>
                          </a:prstGeom>
                        </pic:spPr>
                      </pic:pic>
                    </a:graphicData>
                  </a:graphic>
                </wp:inline>
              </w:drawing>
            </w:r>
          </w:p>
        </w:tc>
      </w:tr>
      <w:tr w:rsidR="00130EB7" w14:paraId="0C60FA31" w14:textId="77777777" w:rsidTr="006B2AE2">
        <w:tc>
          <w:tcPr>
            <w:tcW w:w="9350" w:type="dxa"/>
          </w:tcPr>
          <w:p w14:paraId="72178BF4" w14:textId="77777777" w:rsidR="00130EB7" w:rsidRDefault="00130EB7" w:rsidP="006B2AE2">
            <w:r w:rsidRPr="00621736">
              <w:rPr>
                <w:sz w:val="20"/>
                <w:szCs w:val="20"/>
              </w:rPr>
              <w:t xml:space="preserve">Source: Nora Lustig, editor. (2018) </w:t>
            </w:r>
            <w:r w:rsidRPr="00621736">
              <w:rPr>
                <w:i/>
                <w:sz w:val="20"/>
                <w:szCs w:val="20"/>
              </w:rPr>
              <w:t>CEQ Handbook: Estimating the Impact of Fiscal Policy on Inequality and Poverty</w:t>
            </w:r>
            <w:r w:rsidRPr="00621736">
              <w:rPr>
                <w:sz w:val="20"/>
                <w:szCs w:val="20"/>
              </w:rPr>
              <w:t>. Washington, DC: Brookings Institution Press and CEQ Institute</w:t>
            </w:r>
          </w:p>
        </w:tc>
      </w:tr>
    </w:tbl>
    <w:p w14:paraId="7F6AE8A9" w14:textId="77777777" w:rsidR="00130EB7" w:rsidRPr="007B63BC" w:rsidRDefault="00130EB7" w:rsidP="00130EB7"/>
    <w:p w14:paraId="436CAACF" w14:textId="79025942" w:rsidR="00130EB7" w:rsidRDefault="00130EB7" w:rsidP="00130EB7">
      <w:pPr>
        <w:pStyle w:val="ListParagraph"/>
        <w:spacing w:before="120" w:after="120" w:line="257" w:lineRule="auto"/>
        <w:ind w:left="0"/>
        <w:contextualSpacing w:val="0"/>
      </w:pPr>
      <w:r w:rsidRPr="005406CF">
        <w:rPr>
          <w:b/>
          <w:bCs/>
        </w:rPr>
        <w:t xml:space="preserve">The approach </w:t>
      </w:r>
      <w:r>
        <w:rPr>
          <w:b/>
          <w:bCs/>
        </w:rPr>
        <w:t xml:space="preserve">proposed </w:t>
      </w:r>
      <w:r w:rsidRPr="005406CF">
        <w:rPr>
          <w:b/>
          <w:bCs/>
        </w:rPr>
        <w:t xml:space="preserve">in this </w:t>
      </w:r>
      <w:r w:rsidR="001D60C2">
        <w:rPr>
          <w:b/>
          <w:bCs/>
        </w:rPr>
        <w:t>paper</w:t>
      </w:r>
      <w:r w:rsidR="001D60C2" w:rsidRPr="005406CF">
        <w:rPr>
          <w:b/>
          <w:bCs/>
        </w:rPr>
        <w:t xml:space="preserve"> </w:t>
      </w:r>
      <w:r w:rsidRPr="005406CF">
        <w:rPr>
          <w:b/>
          <w:bCs/>
        </w:rPr>
        <w:t>has the limitations of standard fiscal incidence analysis</w:t>
      </w:r>
      <w:r>
        <w:rPr>
          <w:b/>
          <w:bCs/>
        </w:rPr>
        <w:t>,</w:t>
      </w:r>
      <w:r w:rsidRPr="005406CF">
        <w:rPr>
          <w:b/>
          <w:bCs/>
        </w:rPr>
        <w:t xml:space="preserve"> but its results are generally considered a reasonable approximation of short-run welfare</w:t>
      </w:r>
      <w:r>
        <w:rPr>
          <w:b/>
          <w:bCs/>
        </w:rPr>
        <w:t xml:space="preserve"> effects</w:t>
      </w:r>
      <w:r w:rsidRPr="005406CF">
        <w:rPr>
          <w:b/>
          <w:bCs/>
        </w:rPr>
        <w:t xml:space="preserve">. </w:t>
      </w:r>
      <w:r>
        <w:t>It does not consider all taxes and all the components of public spending (e.g.</w:t>
      </w:r>
      <w:r w:rsidR="007660FE">
        <w:t>,</w:t>
      </w:r>
      <w:r>
        <w:t xml:space="preserve"> corporate taxation). Moreover, the CEQ methodology is static and thus does not capture behavioral effects, general equilibrium effects and intertemporal redistribution. </w:t>
      </w:r>
    </w:p>
    <w:p w14:paraId="3AE19427" w14:textId="479393D1" w:rsidR="00130EB7" w:rsidRDefault="00130EB7" w:rsidP="00130EB7">
      <w:pPr>
        <w:pStyle w:val="ListParagraph"/>
        <w:spacing w:before="120" w:after="120" w:line="257" w:lineRule="auto"/>
        <w:ind w:left="0"/>
        <w:contextualSpacing w:val="0"/>
      </w:pPr>
      <w:r>
        <w:rPr>
          <w:b/>
          <w:bCs/>
        </w:rPr>
        <w:t>While m</w:t>
      </w:r>
      <w:r w:rsidRPr="00305920">
        <w:rPr>
          <w:b/>
        </w:rPr>
        <w:t xml:space="preserve">ost fiscal incidence studies have focused on the </w:t>
      </w:r>
      <w:r w:rsidR="00600CBF">
        <w:rPr>
          <w:b/>
        </w:rPr>
        <w:t>impact</w:t>
      </w:r>
      <w:r w:rsidRPr="00305920">
        <w:rPr>
          <w:b/>
        </w:rPr>
        <w:t xml:space="preserve"> of various tax</w:t>
      </w:r>
      <w:r>
        <w:rPr>
          <w:b/>
          <w:bCs/>
        </w:rPr>
        <w:t xml:space="preserve"> and social </w:t>
      </w:r>
      <w:r w:rsidRPr="00305920">
        <w:rPr>
          <w:b/>
        </w:rPr>
        <w:t xml:space="preserve">spending measures across </w:t>
      </w:r>
      <w:proofErr w:type="gramStart"/>
      <w:r w:rsidRPr="00305920">
        <w:rPr>
          <w:b/>
        </w:rPr>
        <w:t>the income</w:t>
      </w:r>
      <w:proofErr w:type="gramEnd"/>
      <w:r w:rsidRPr="00305920">
        <w:rPr>
          <w:b/>
        </w:rPr>
        <w:t xml:space="preserve"> distribution, </w:t>
      </w:r>
      <w:r>
        <w:rPr>
          <w:b/>
          <w:bCs/>
        </w:rPr>
        <w:t xml:space="preserve">some have incorporated </w:t>
      </w:r>
      <w:r w:rsidRPr="00305920">
        <w:rPr>
          <w:b/>
        </w:rPr>
        <w:t>the gender dynamics of distribution, especially for developed countries.</w:t>
      </w:r>
      <w:r>
        <w:t xml:space="preserve">  For instance, </w:t>
      </w:r>
      <w:r w:rsidRPr="00CA0FF6">
        <w:t>Aziz et al. (2013) and Lahey (</w:t>
      </w:r>
      <w:r>
        <w:t>2015</w:t>
      </w:r>
      <w:r w:rsidRPr="00CA0FF6">
        <w:t xml:space="preserve">) point to gender-equalizing effects of direct taxation, with the </w:t>
      </w:r>
      <w:r>
        <w:t xml:space="preserve">tax </w:t>
      </w:r>
      <w:r w:rsidRPr="00CA0FF6">
        <w:t>burden falling relatively more on men than on women, in New Zealand and Australia, respectively</w:t>
      </w:r>
      <w:r>
        <w:t xml:space="preserve">. </w:t>
      </w:r>
      <w:r w:rsidRPr="002A2DEB">
        <w:rPr>
          <w:color w:val="FF0000"/>
        </w:rPr>
        <w:t xml:space="preserve">Doorley and Keane (2020) </w:t>
      </w:r>
      <w:r w:rsidRPr="00CA0FF6">
        <w:t>find that the tax-benefit system reduces gender income gaps in a cross-section of European countries and that it does this both through gender differences in benefit entitlement and gender differences in tax liabilities.</w:t>
      </w:r>
      <w:r>
        <w:t xml:space="preserve"> </w:t>
      </w:r>
      <w:r w:rsidRPr="002A2DEB">
        <w:rPr>
          <w:color w:val="FF0000"/>
        </w:rPr>
        <w:t>Garcia Peña (2019</w:t>
      </w:r>
      <w:r>
        <w:t>)</w:t>
      </w:r>
      <w:r w:rsidRPr="00CA0FF6">
        <w:t xml:space="preserve"> </w:t>
      </w:r>
      <w:r>
        <w:t>studies the case of</w:t>
      </w:r>
      <w:r w:rsidRPr="00CA0FF6">
        <w:t xml:space="preserve"> Barbados </w:t>
      </w:r>
      <w:r>
        <w:t>and her</w:t>
      </w:r>
      <w:r w:rsidRPr="00CA0FF6">
        <w:t xml:space="preserve"> results suggest that direct transfers benefit mostly men, and thus direct interventions widen the gender gap</w:t>
      </w:r>
      <w:r>
        <w:t>.</w:t>
      </w:r>
    </w:p>
    <w:p w14:paraId="7AFD648C" w14:textId="2DCEBF93" w:rsidR="00130EB7" w:rsidRPr="002A2DEB" w:rsidRDefault="00130EB7" w:rsidP="00130EB7">
      <w:pPr>
        <w:pStyle w:val="ListParagraph"/>
        <w:spacing w:before="120" w:after="120" w:line="257" w:lineRule="auto"/>
        <w:ind w:left="0"/>
        <w:contextualSpacing w:val="0"/>
        <w:rPr>
          <w:rFonts w:eastAsia="Malgun Gothic" w:cstheme="minorHAnsi"/>
          <w:b/>
          <w:lang w:eastAsia="ko-KR"/>
        </w:rPr>
      </w:pPr>
      <w:r>
        <w:rPr>
          <w:rFonts w:cstheme="minorHAnsi"/>
          <w:b/>
        </w:rPr>
        <w:t xml:space="preserve">In line with international evidence, </w:t>
      </w:r>
      <w:r w:rsidRPr="00754AF3">
        <w:rPr>
          <w:rFonts w:cstheme="minorHAnsi"/>
          <w:b/>
        </w:rPr>
        <w:t>Bucheli and Olivieri (2015</w:t>
      </w:r>
      <w:r w:rsidR="005F5192">
        <w:rPr>
          <w:rFonts w:cstheme="minorHAnsi"/>
          <w:b/>
        </w:rPr>
        <w:t>, 2019</w:t>
      </w:r>
      <w:r w:rsidRPr="00754AF3">
        <w:rPr>
          <w:rFonts w:cstheme="minorHAnsi"/>
          <w:b/>
        </w:rPr>
        <w:t xml:space="preserve">) find evidence of </w:t>
      </w:r>
      <w:r>
        <w:rPr>
          <w:rFonts w:cstheme="minorHAnsi"/>
          <w:b/>
        </w:rPr>
        <w:t xml:space="preserve">gender-equalizing effects of </w:t>
      </w:r>
      <w:r w:rsidR="00822479">
        <w:rPr>
          <w:rFonts w:cstheme="minorHAnsi"/>
          <w:b/>
        </w:rPr>
        <w:t>the Personal Income Tax</w:t>
      </w:r>
      <w:r>
        <w:rPr>
          <w:rFonts w:cstheme="minorHAnsi"/>
          <w:b/>
        </w:rPr>
        <w:t xml:space="preserve"> in Uruguay, with </w:t>
      </w:r>
      <w:r w:rsidRPr="00C937ED">
        <w:rPr>
          <w:rFonts w:cstheme="minorHAnsi"/>
          <w:b/>
        </w:rPr>
        <w:t xml:space="preserve">female breadwinner households </w:t>
      </w:r>
      <w:r w:rsidRPr="00C225BB">
        <w:rPr>
          <w:rFonts w:cstheme="minorHAnsi"/>
          <w:b/>
        </w:rPr>
        <w:t>bear</w:t>
      </w:r>
      <w:r>
        <w:rPr>
          <w:rFonts w:cstheme="minorHAnsi"/>
          <w:b/>
        </w:rPr>
        <w:t>ing</w:t>
      </w:r>
      <w:r w:rsidRPr="00CB67DD">
        <w:rPr>
          <w:rFonts w:cstheme="minorHAnsi"/>
          <w:b/>
        </w:rPr>
        <w:t xml:space="preserve"> a lower burden than male breadwinner households.</w:t>
      </w:r>
      <w:r w:rsidRPr="008165AE">
        <w:rPr>
          <w:rFonts w:cstheme="minorHAnsi"/>
        </w:rPr>
        <w:t xml:space="preserve"> </w:t>
      </w:r>
      <w:r w:rsidR="00900269">
        <w:rPr>
          <w:rFonts w:cstheme="minorHAnsi"/>
        </w:rPr>
        <w:t xml:space="preserve">In particular, the authors find that </w:t>
      </w:r>
      <w:r w:rsidR="005F76F4">
        <w:rPr>
          <w:rFonts w:cstheme="minorHAnsi"/>
        </w:rPr>
        <w:t>single-mother</w:t>
      </w:r>
      <w:r w:rsidR="00900269">
        <w:rPr>
          <w:rFonts w:cstheme="minorHAnsi"/>
        </w:rPr>
        <w:t xml:space="preserve"> households bear a lower burden than </w:t>
      </w:r>
      <w:r w:rsidR="005F76F4">
        <w:rPr>
          <w:rFonts w:cstheme="minorHAnsi"/>
        </w:rPr>
        <w:t>dual-earner</w:t>
      </w:r>
      <w:r w:rsidR="00900269">
        <w:rPr>
          <w:rFonts w:cstheme="minorHAnsi"/>
        </w:rPr>
        <w:t xml:space="preserve"> household</w:t>
      </w:r>
      <w:r w:rsidR="005F76F4">
        <w:rPr>
          <w:rFonts w:cstheme="minorHAnsi"/>
        </w:rPr>
        <w:t>s. The pattern is consisten</w:t>
      </w:r>
      <w:r w:rsidR="00877BDD">
        <w:rPr>
          <w:rFonts w:cstheme="minorHAnsi"/>
        </w:rPr>
        <w:t>t</w:t>
      </w:r>
      <w:r w:rsidR="005F76F4">
        <w:rPr>
          <w:rFonts w:cstheme="minorHAnsi"/>
        </w:rPr>
        <w:t xml:space="preserve"> with gender equity but may be explained by non-desirable aspects:</w:t>
      </w:r>
      <w:r w:rsidR="00877BDD">
        <w:rPr>
          <w:rFonts w:cstheme="minorHAnsi"/>
        </w:rPr>
        <w:t xml:space="preserve"> a higher share of non-taxable income among female types derived from</w:t>
      </w:r>
      <w:r w:rsidR="00056733">
        <w:rPr>
          <w:rFonts w:cstheme="minorHAnsi"/>
        </w:rPr>
        <w:t xml:space="preserve"> lower </w:t>
      </w:r>
      <w:r w:rsidRPr="00466A9D">
        <w:rPr>
          <w:rFonts w:cstheme="minorHAnsi"/>
        </w:rPr>
        <w:t>wage</w:t>
      </w:r>
      <w:r w:rsidR="00056733">
        <w:rPr>
          <w:rFonts w:cstheme="minorHAnsi"/>
        </w:rPr>
        <w:t>s</w:t>
      </w:r>
      <w:r w:rsidRPr="00466A9D">
        <w:rPr>
          <w:rFonts w:cstheme="minorHAnsi"/>
        </w:rPr>
        <w:t xml:space="preserve"> per worker (for the same total labor income) </w:t>
      </w:r>
      <w:r w:rsidR="00056733">
        <w:rPr>
          <w:rFonts w:cstheme="minorHAnsi"/>
        </w:rPr>
        <w:t>and a higher likeli</w:t>
      </w:r>
      <w:r w:rsidR="00242F43">
        <w:rPr>
          <w:rFonts w:cstheme="minorHAnsi"/>
        </w:rPr>
        <w:t xml:space="preserve">hood of informal (non-registered) among women. </w:t>
      </w:r>
      <w:r w:rsidR="002A2DEB">
        <w:rPr>
          <w:rFonts w:eastAsia="Malgun Gothic" w:cstheme="minorHAnsi"/>
          <w:lang w:eastAsia="ko-KR"/>
        </w:rPr>
        <w:tab/>
      </w:r>
      <w:r w:rsidR="002A2DEB">
        <w:rPr>
          <w:rFonts w:eastAsia="Malgun Gothic" w:cstheme="minorHAnsi"/>
          <w:lang w:eastAsia="ko-KR"/>
        </w:rPr>
        <w:tab/>
      </w:r>
    </w:p>
    <w:p w14:paraId="089893BA" w14:textId="77777777" w:rsidR="007F1591" w:rsidRDefault="007F1591" w:rsidP="006E7D82">
      <w:pPr>
        <w:pStyle w:val="Heading2"/>
      </w:pPr>
    </w:p>
    <w:p w14:paraId="2F9938BF" w14:textId="5813F17D" w:rsidR="00E42155" w:rsidRPr="00D12059" w:rsidRDefault="00B059D8" w:rsidP="007F1591">
      <w:pPr>
        <w:pStyle w:val="Heading2"/>
        <w:numPr>
          <w:ilvl w:val="0"/>
          <w:numId w:val="5"/>
        </w:numPr>
      </w:pPr>
      <w:bookmarkStart w:id="5" w:name="_Toc136425142"/>
      <w:r>
        <w:t>Gender gaps in economic participation</w:t>
      </w:r>
      <w:bookmarkEnd w:id="5"/>
    </w:p>
    <w:p w14:paraId="45DCCCEE" w14:textId="3B419D37" w:rsidR="00A863B2" w:rsidRDefault="004B46E2" w:rsidP="00096AA3">
      <w:pPr>
        <w:pStyle w:val="ListParagraph"/>
        <w:spacing w:before="120" w:after="120" w:line="257" w:lineRule="auto"/>
        <w:ind w:left="0"/>
        <w:contextualSpacing w:val="0"/>
        <w:rPr>
          <w:rFonts w:eastAsia="Times New Roman" w:cstheme="minorHAnsi"/>
        </w:rPr>
      </w:pPr>
      <w:r w:rsidRPr="00E51DE3">
        <w:rPr>
          <w:b/>
          <w:bCs/>
        </w:rPr>
        <w:t xml:space="preserve">The </w:t>
      </w:r>
      <w:r w:rsidR="00896B81">
        <w:rPr>
          <w:b/>
          <w:bCs/>
        </w:rPr>
        <w:t>latest</w:t>
      </w:r>
      <w:r w:rsidRPr="00E51DE3">
        <w:rPr>
          <w:b/>
          <w:bCs/>
        </w:rPr>
        <w:t xml:space="preserve"> World Bank Country Gender Assessment for Uruguay offers a diagnosis of where important gender gaps exist and are susceptible to be addressed through public policy</w:t>
      </w:r>
      <w:r w:rsidRPr="007B63BC">
        <w:t xml:space="preserve">. The results of this diagnosis show that although Uruguay has achieved important progress in gender equality on several dimensions of human capital, converting this human capital into </w:t>
      </w:r>
      <w:r w:rsidR="00A863B2">
        <w:t xml:space="preserve">improved </w:t>
      </w:r>
      <w:r w:rsidRPr="007B63BC">
        <w:t xml:space="preserve">productivity, earnings </w:t>
      </w:r>
      <w:r>
        <w:t>and wellbeing</w:t>
      </w:r>
      <w:r w:rsidRPr="007B63BC">
        <w:t xml:space="preserve"> </w:t>
      </w:r>
      <w:r>
        <w:t>(</w:t>
      </w:r>
      <w:r w:rsidRPr="007B63BC">
        <w:t xml:space="preserve">of households and the entire society), </w:t>
      </w:r>
      <w:r w:rsidR="00C90E81">
        <w:t>would require</w:t>
      </w:r>
      <w:r w:rsidRPr="007B63BC">
        <w:t xml:space="preserve"> </w:t>
      </w:r>
      <w:r w:rsidR="00C90E81">
        <w:t xml:space="preserve">reducing the </w:t>
      </w:r>
      <w:r w:rsidR="000A3805">
        <w:t>gender gaps in participation in</w:t>
      </w:r>
      <w:r w:rsidRPr="007B63BC">
        <w:t xml:space="preserve"> formal labor and entrepreneurship. Male-female gaps in labor market participation, as well as women’s limited presence as business entrepreneurs persist and constrain the overall country’s growth prospects. </w:t>
      </w:r>
      <w:r w:rsidR="00437072" w:rsidRPr="00197B5B">
        <w:rPr>
          <w:rFonts w:eastAsia="Times New Roman" w:cstheme="minorHAnsi"/>
        </w:rPr>
        <w:t>Both in terms of levels of female labor force participation, and particularly in terms of the ratio of female to male labor force participation, Uruguay does generally better than regional comparators (Argentina, Brazil, Chile, Mexico, but not Colombia and Peru), and does not compare favorably with respect to OECD countries (aspirational peers), and some HIC countries identified as structural comparators (Australia, Chile, Greece, New Zealand</w:t>
      </w:r>
      <w:r w:rsidR="00691AC4">
        <w:rPr>
          <w:rFonts w:eastAsia="Times New Roman" w:cstheme="minorHAnsi"/>
        </w:rPr>
        <w:t>,</w:t>
      </w:r>
      <w:r w:rsidR="00437072" w:rsidRPr="00197B5B">
        <w:rPr>
          <w:rFonts w:eastAsia="Times New Roman" w:cstheme="minorHAnsi"/>
        </w:rPr>
        <w:t xml:space="preserve"> and Spain).</w:t>
      </w:r>
    </w:p>
    <w:p w14:paraId="09C1A133" w14:textId="62720AFD" w:rsidR="00C865C4" w:rsidRPr="00C865C4" w:rsidRDefault="00C865C4" w:rsidP="00096AA3">
      <w:pPr>
        <w:pStyle w:val="ListParagraph"/>
        <w:spacing w:before="120" w:after="120" w:line="257" w:lineRule="auto"/>
        <w:ind w:left="0"/>
        <w:contextualSpacing w:val="0"/>
      </w:pPr>
      <w:r>
        <w:rPr>
          <w:b/>
          <w:bCs/>
        </w:rPr>
        <w:t>As in other middle and high-income countries in the region, despite having equal or better average qualifications, women participate less in the labor market</w:t>
      </w:r>
      <w:r w:rsidRPr="00CA0FF6">
        <w:rPr>
          <w:b/>
        </w:rPr>
        <w:t>.</w:t>
      </w:r>
      <w:r>
        <w:t xml:space="preserve"> The average years of schooling in Uruguay is 11 for women and 9.8 for men. However, o</w:t>
      </w:r>
      <w:r w:rsidRPr="0044319E">
        <w:t>nly 55.8 percent of working</w:t>
      </w:r>
      <w:r>
        <w:t>-</w:t>
      </w:r>
      <w:r w:rsidRPr="0044319E">
        <w:t>age women were actively participating in the labor market in 2018. In addition, only 50.1 percent of working-age women are occupied, contrasting with 67.6 percent of men. Women who are either unoccupied or performing housekeeping work</w:t>
      </w:r>
      <w:r>
        <w:t xml:space="preserve"> - </w:t>
      </w:r>
      <w:r w:rsidRPr="0044319E">
        <w:t xml:space="preserve">and are </w:t>
      </w:r>
      <w:r>
        <w:t xml:space="preserve">thus not </w:t>
      </w:r>
      <w:r w:rsidRPr="0044319E">
        <w:t xml:space="preserve">considered </w:t>
      </w:r>
      <w:r>
        <w:t>to be</w:t>
      </w:r>
      <w:r w:rsidRPr="0044319E">
        <w:t xml:space="preserve"> participating in the labor market</w:t>
      </w:r>
      <w:r>
        <w:t xml:space="preserve"> - </w:t>
      </w:r>
      <w:r w:rsidRPr="0044319E">
        <w:t xml:space="preserve">represent as much as 17.6 percent. The remaining women are distributed across other activities: 9.6 percent are students and 22.7 percent are either retired, pensioners, or inactive. The </w:t>
      </w:r>
      <w:r>
        <w:t xml:space="preserve">gender </w:t>
      </w:r>
      <w:r w:rsidRPr="0044319E">
        <w:t xml:space="preserve">gap in participation is higher among those with basic education. </w:t>
      </w:r>
    </w:p>
    <w:p w14:paraId="3B80A30C" w14:textId="4E81AF1D" w:rsidR="00E5350A" w:rsidRDefault="00342216" w:rsidP="00096AA3">
      <w:pPr>
        <w:pStyle w:val="ListParagraph"/>
        <w:spacing w:before="120" w:after="120" w:line="257" w:lineRule="auto"/>
        <w:ind w:left="0"/>
        <w:contextualSpacing w:val="0"/>
      </w:pPr>
      <w:r w:rsidRPr="00E51DE3">
        <w:rPr>
          <w:b/>
          <w:bCs/>
        </w:rPr>
        <w:t xml:space="preserve">On average, the </w:t>
      </w:r>
      <w:r w:rsidR="008130E8">
        <w:rPr>
          <w:b/>
          <w:bCs/>
        </w:rPr>
        <w:t xml:space="preserve">economic </w:t>
      </w:r>
      <w:r w:rsidRPr="00E51DE3">
        <w:rPr>
          <w:b/>
          <w:bCs/>
        </w:rPr>
        <w:t xml:space="preserve">loss associated with the gender gap in labor market participation is </w:t>
      </w:r>
      <w:r w:rsidR="00A863B2">
        <w:rPr>
          <w:b/>
          <w:bCs/>
        </w:rPr>
        <w:t>estimated at</w:t>
      </w:r>
      <w:r w:rsidRPr="00A863B2">
        <w:rPr>
          <w:b/>
          <w:bCs/>
        </w:rPr>
        <w:t xml:space="preserve"> </w:t>
      </w:r>
      <w:r w:rsidRPr="00E51DE3">
        <w:rPr>
          <w:b/>
          <w:bCs/>
        </w:rPr>
        <w:t>around 13 percent of income per capita</w:t>
      </w:r>
      <w:r w:rsidRPr="00CA0FF6">
        <w:rPr>
          <w:b/>
        </w:rPr>
        <w:t>.</w:t>
      </w:r>
      <w:r w:rsidRPr="007B63BC">
        <w:t xml:space="preserve"> Based on the methodology of </w:t>
      </w:r>
      <w:proofErr w:type="spellStart"/>
      <w:r w:rsidRPr="007B63BC">
        <w:t>Cuberes</w:t>
      </w:r>
      <w:proofErr w:type="spellEnd"/>
      <w:r w:rsidRPr="007B63BC">
        <w:t xml:space="preserve"> and </w:t>
      </w:r>
      <w:proofErr w:type="spellStart"/>
      <w:r w:rsidRPr="007B63BC">
        <w:t>Tiegnier</w:t>
      </w:r>
      <w:proofErr w:type="spellEnd"/>
      <w:r w:rsidRPr="007B63BC">
        <w:t xml:space="preserve"> (2016), the Country Gender Assessment estimates that if working-age women </w:t>
      </w:r>
      <w:r w:rsidR="00AB4DF4" w:rsidRPr="0044319E">
        <w:t>(between 15 and 64 years of age)</w:t>
      </w:r>
      <w:r w:rsidRPr="007B63BC">
        <w:t xml:space="preserve"> were to participate in the labor market at the same rates as their male counterparts, there would be a 13 percent gain in Uruguay’s GDP per capita</w:t>
      </w:r>
      <w:r w:rsidR="004A31E5">
        <w:t xml:space="preserve"> </w:t>
      </w:r>
      <w:r w:rsidR="00D84F98">
        <w:t>in the long-run</w:t>
      </w:r>
      <w:r w:rsidRPr="007B63BC">
        <w:t>.</w:t>
      </w:r>
      <w:r w:rsidR="00D55E34">
        <w:rPr>
          <w:rStyle w:val="FootnoteReference"/>
        </w:rPr>
        <w:footnoteReference w:id="5"/>
      </w:r>
      <w:r w:rsidRPr="007B63BC">
        <w:t xml:space="preserve">  </w:t>
      </w:r>
    </w:p>
    <w:p w14:paraId="21419612" w14:textId="09BDB186" w:rsidR="002F6E7A" w:rsidRPr="0044319E" w:rsidRDefault="00437072" w:rsidP="00096AA3">
      <w:pPr>
        <w:pStyle w:val="ListParagraph"/>
        <w:spacing w:before="120" w:after="120" w:line="257" w:lineRule="auto"/>
        <w:ind w:left="0"/>
        <w:contextualSpacing w:val="0"/>
      </w:pPr>
      <w:r>
        <w:rPr>
          <w:b/>
        </w:rPr>
        <w:t>Gender gaps in the intensive margin also</w:t>
      </w:r>
      <w:r w:rsidR="00E64A5E" w:rsidRPr="000457A4">
        <w:rPr>
          <w:b/>
        </w:rPr>
        <w:t xml:space="preserve"> persist, including </w:t>
      </w:r>
      <w:r>
        <w:rPr>
          <w:b/>
        </w:rPr>
        <w:t>a</w:t>
      </w:r>
      <w:r w:rsidR="00E64A5E" w:rsidRPr="000457A4">
        <w:rPr>
          <w:b/>
        </w:rPr>
        <w:t xml:space="preserve"> higher incidence of unemployment, the lower quality jobs, the </w:t>
      </w:r>
      <w:r w:rsidR="00E64A5E" w:rsidRPr="00EA3CD7">
        <w:rPr>
          <w:b/>
        </w:rPr>
        <w:t xml:space="preserve">large wage gap </w:t>
      </w:r>
      <w:r w:rsidR="002F6E7A">
        <w:rPr>
          <w:b/>
        </w:rPr>
        <w:t>that women face</w:t>
      </w:r>
      <w:r w:rsidR="00143AE8">
        <w:rPr>
          <w:b/>
        </w:rPr>
        <w:t xml:space="preserve"> </w:t>
      </w:r>
      <w:r w:rsidR="00143AE8" w:rsidRPr="00EA3CD7">
        <w:rPr>
          <w:b/>
        </w:rPr>
        <w:t>(</w:t>
      </w:r>
      <w:r w:rsidR="00143AE8">
        <w:rPr>
          <w:b/>
        </w:rPr>
        <w:t xml:space="preserve">they </w:t>
      </w:r>
      <w:r w:rsidR="00143AE8" w:rsidRPr="00EA3CD7">
        <w:rPr>
          <w:b/>
        </w:rPr>
        <w:t>earn on average 30 percent less than men)</w:t>
      </w:r>
      <w:r w:rsidR="000A3805">
        <w:rPr>
          <w:b/>
        </w:rPr>
        <w:t>,</w:t>
      </w:r>
      <w:r w:rsidR="002F6E7A">
        <w:rPr>
          <w:b/>
        </w:rPr>
        <w:t xml:space="preserve"> </w:t>
      </w:r>
      <w:r w:rsidR="00E64A5E" w:rsidRPr="00EA3CD7">
        <w:rPr>
          <w:b/>
        </w:rPr>
        <w:t xml:space="preserve">and </w:t>
      </w:r>
      <w:r w:rsidR="002F6E7A">
        <w:rPr>
          <w:b/>
        </w:rPr>
        <w:t xml:space="preserve">the </w:t>
      </w:r>
      <w:r w:rsidR="00E64A5E" w:rsidRPr="00EA3CD7">
        <w:rPr>
          <w:b/>
        </w:rPr>
        <w:t>segregation by sector</w:t>
      </w:r>
      <w:r w:rsidR="002F6E7A">
        <w:rPr>
          <w:b/>
        </w:rPr>
        <w:t xml:space="preserve"> and </w:t>
      </w:r>
      <w:r w:rsidR="00E64A5E" w:rsidRPr="00EA3CD7">
        <w:rPr>
          <w:b/>
        </w:rPr>
        <w:t>occupation.</w:t>
      </w:r>
      <w:r w:rsidR="00E64A5E" w:rsidRPr="00F32B96">
        <w:t xml:space="preserve"> Women also bear the brunt of caregiving activities: </w:t>
      </w:r>
      <w:r w:rsidR="00FE5AC9">
        <w:t>19.9</w:t>
      </w:r>
      <w:r w:rsidR="00E64A5E" w:rsidRPr="00B014FA">
        <w:t xml:space="preserve"> percent </w:t>
      </w:r>
      <w:r w:rsidR="00E64A5E" w:rsidRPr="00F32B96">
        <w:t>of women’s time v</w:t>
      </w:r>
      <w:r w:rsidR="00811101">
        <w:t>ersus</w:t>
      </w:r>
      <w:r w:rsidR="00E64A5E" w:rsidRPr="00F32B96">
        <w:t xml:space="preserve"> 8.4</w:t>
      </w:r>
      <w:r w:rsidR="00E64A5E" w:rsidRPr="00B014FA">
        <w:t xml:space="preserve"> percent</w:t>
      </w:r>
      <w:r w:rsidR="00E64A5E" w:rsidRPr="00F32B96">
        <w:t xml:space="preserve"> of men’s in 2013 was dedicated to unpaid domestic and care work.  </w:t>
      </w:r>
    </w:p>
    <w:p w14:paraId="77E1D7C3" w14:textId="288D73C3" w:rsidR="00FE5FD5" w:rsidRDefault="00E64A5E" w:rsidP="00096AA3">
      <w:pPr>
        <w:pStyle w:val="ListParagraph"/>
        <w:spacing w:before="120" w:after="120" w:line="257" w:lineRule="auto"/>
        <w:ind w:left="0"/>
        <w:contextualSpacing w:val="0"/>
      </w:pPr>
      <w:r w:rsidRPr="00F32B96">
        <w:rPr>
          <w:b/>
          <w:bCs/>
        </w:rPr>
        <w:t xml:space="preserve">Moreover, vulnerable groups of women show much poorer indicators vis-à-vis other women and men across all </w:t>
      </w:r>
      <w:r w:rsidR="00012A6A">
        <w:rPr>
          <w:b/>
          <w:bCs/>
        </w:rPr>
        <w:t>dimensions</w:t>
      </w:r>
      <w:r w:rsidR="00012A6A" w:rsidRPr="00F32B96">
        <w:rPr>
          <w:b/>
          <w:bCs/>
        </w:rPr>
        <w:t xml:space="preserve"> </w:t>
      </w:r>
      <w:r w:rsidRPr="00F32B96">
        <w:rPr>
          <w:b/>
          <w:bCs/>
        </w:rPr>
        <w:t xml:space="preserve">and </w:t>
      </w:r>
      <w:r w:rsidR="00D62C3C">
        <w:rPr>
          <w:b/>
          <w:bCs/>
        </w:rPr>
        <w:t>thus</w:t>
      </w:r>
      <w:r w:rsidRPr="00F32B96">
        <w:rPr>
          <w:b/>
          <w:bCs/>
        </w:rPr>
        <w:t xml:space="preserve"> require particular attention.</w:t>
      </w:r>
      <w:r w:rsidRPr="00F32B96">
        <w:t xml:space="preserve"> </w:t>
      </w:r>
      <w:r>
        <w:t xml:space="preserve">Rural women </w:t>
      </w:r>
      <w:r w:rsidR="00872009">
        <w:t>register</w:t>
      </w:r>
      <w:r>
        <w:t xml:space="preserve"> lower labor force participation rates than </w:t>
      </w:r>
      <w:r w:rsidR="00E51452">
        <w:t xml:space="preserve">average </w:t>
      </w:r>
      <w:r>
        <w:t xml:space="preserve">women in the country. Among those that work, they rarely participate in agricultural </w:t>
      </w:r>
      <w:r w:rsidR="002704A7">
        <w:t>production,</w:t>
      </w:r>
      <w:r>
        <w:t xml:space="preserve"> and </w:t>
      </w:r>
      <w:r w:rsidR="008A3BAF">
        <w:t xml:space="preserve">they </w:t>
      </w:r>
      <w:r>
        <w:t>occupy positions of less responsibility and qualification</w:t>
      </w:r>
      <w:r w:rsidR="00FE190B">
        <w:t xml:space="preserve"> compared to men</w:t>
      </w:r>
      <w:r>
        <w:t xml:space="preserve">. Rural women also face gaps in access to productive resources such as technical assistance and </w:t>
      </w:r>
      <w:r w:rsidR="004A69A3">
        <w:t xml:space="preserve">rural </w:t>
      </w:r>
      <w:r>
        <w:lastRenderedPageBreak/>
        <w:t xml:space="preserve">extension services – it is estimated that less than one fourth of beneficiaries of rural development policies are women. </w:t>
      </w:r>
      <w:r w:rsidR="00DD5414">
        <w:t>Another particularly vulnerable population group is that formed by Afro-descendent women</w:t>
      </w:r>
      <w:r w:rsidR="005E31E6">
        <w:t xml:space="preserve"> who are more likely to be unemployed or hold low-earning jobs</w:t>
      </w:r>
      <w:r w:rsidR="00DD5414">
        <w:t xml:space="preserve">. </w:t>
      </w:r>
      <w:r w:rsidR="005E31E6">
        <w:t xml:space="preserve">For instance, </w:t>
      </w:r>
      <w:r w:rsidR="003549A6">
        <w:t>they face the highest rate of unemployment of all groups in Uruguay</w:t>
      </w:r>
      <w:r w:rsidR="00D62774">
        <w:t xml:space="preserve">. </w:t>
      </w:r>
      <w:r w:rsidR="00DD5414">
        <w:t xml:space="preserve">   </w:t>
      </w:r>
    </w:p>
    <w:p w14:paraId="22D34EA8" w14:textId="77777777" w:rsidR="00F44ACF" w:rsidRDefault="00431C23" w:rsidP="00096AA3">
      <w:pPr>
        <w:pStyle w:val="ListParagraph"/>
        <w:spacing w:before="120" w:after="120" w:line="257" w:lineRule="auto"/>
        <w:ind w:left="0"/>
        <w:contextualSpacing w:val="0"/>
      </w:pPr>
      <w:r w:rsidRPr="00166DFF">
        <w:rPr>
          <w:b/>
          <w:bCs/>
        </w:rPr>
        <w:t xml:space="preserve">Female-headed households are more likely to </w:t>
      </w:r>
      <w:r w:rsidR="003B2EF2">
        <w:rPr>
          <w:b/>
          <w:bCs/>
        </w:rPr>
        <w:t>fall into poverty</w:t>
      </w:r>
      <w:r w:rsidRPr="00166DFF">
        <w:rPr>
          <w:b/>
          <w:bCs/>
        </w:rPr>
        <w:t xml:space="preserve"> than male-headed households.</w:t>
      </w:r>
      <w:r w:rsidRPr="00552DAF">
        <w:t xml:space="preserve"> </w:t>
      </w:r>
      <w:r>
        <w:t xml:space="preserve">A common approach to study gender differences in poverty consists </w:t>
      </w:r>
      <w:r w:rsidR="008161DD">
        <w:t>i</w:t>
      </w:r>
      <w:r>
        <w:t xml:space="preserve">n comparing female- and male-headed households. In Uruguay, male-headed households account for 59 percent of the </w:t>
      </w:r>
      <w:r w:rsidR="00803B1D">
        <w:t xml:space="preserve">country’s </w:t>
      </w:r>
      <w:r>
        <w:t xml:space="preserve">population, but 43 percent of the poor. Data show that the poverty rate in male-headed households is 5.7 percent, whereas it is 10.9 percent in female-headed households. </w:t>
      </w:r>
    </w:p>
    <w:p w14:paraId="7FFD1B57" w14:textId="5EA63C06" w:rsidR="00431C23" w:rsidRPr="000C7670" w:rsidRDefault="00431C23" w:rsidP="00096AA3">
      <w:pPr>
        <w:pStyle w:val="ListParagraph"/>
        <w:spacing w:before="120" w:after="120" w:line="257" w:lineRule="auto"/>
        <w:ind w:left="0"/>
        <w:contextualSpacing w:val="0"/>
      </w:pPr>
      <w:r w:rsidRPr="00F44ACF">
        <w:rPr>
          <w:b/>
          <w:bCs/>
        </w:rPr>
        <w:t>The concept of household head is, however, often ill-defined and may even be misleading</w:t>
      </w:r>
      <w:r>
        <w:t xml:space="preserve"> </w:t>
      </w:r>
      <w:r w:rsidR="00F44ACF">
        <w:t xml:space="preserve">for the </w:t>
      </w:r>
      <w:r w:rsidR="00F44ACF" w:rsidRPr="00F44ACF">
        <w:rPr>
          <w:b/>
          <w:bCs/>
        </w:rPr>
        <w:t>analysis of gender equality</w:t>
      </w:r>
      <w:r w:rsidR="00F44ACF">
        <w:t xml:space="preserve"> </w:t>
      </w:r>
      <w:r>
        <w:t xml:space="preserve">(World Bank, 2018). For example, vulnerable widows and more affluent single women are lumped under a single category of female-headed households. Moreover, the </w:t>
      </w:r>
      <w:r w:rsidR="00C974B5">
        <w:t>“</w:t>
      </w:r>
      <w:r>
        <w:t>headship</w:t>
      </w:r>
      <w:r w:rsidR="00C974B5">
        <w:t>”</w:t>
      </w:r>
      <w:r>
        <w:t xml:space="preserve"> concept risks conflating gender gaps with differences caused by demographic composition. For instance, many female-headed households </w:t>
      </w:r>
      <w:r w:rsidR="00C01913">
        <w:t>have</w:t>
      </w:r>
      <w:r w:rsidRPr="00343F35">
        <w:t xml:space="preserve"> children but not adult males, whereas most male-headed households contain adult women and children. Several studies find that household composition, particularly the presence of dependents and the type of earners, influences gender differences in poverty over the life cycle (Grown and </w:t>
      </w:r>
      <w:proofErr w:type="spellStart"/>
      <w:r w:rsidRPr="00343F35">
        <w:t>Valodia</w:t>
      </w:r>
      <w:proofErr w:type="spellEnd"/>
      <w:r w:rsidRPr="00343F35">
        <w:t>, 2010; World Bank, 2018). In addition</w:t>
      </w:r>
      <w:r>
        <w:t xml:space="preserve">, self-reported household headship </w:t>
      </w:r>
      <w:r w:rsidR="00AC6401">
        <w:t xml:space="preserve">(as is the case in Uruguay’s </w:t>
      </w:r>
      <w:r w:rsidR="003E7717">
        <w:t>household survey</w:t>
      </w:r>
      <w:r w:rsidR="00AC6401">
        <w:t>)</w:t>
      </w:r>
      <w:r>
        <w:t xml:space="preserve"> reflects social norms and views about who is understood as the head of the household, for example, the main breadwinner, the main decision maker, </w:t>
      </w:r>
      <w:r w:rsidR="00EB1D8C">
        <w:t xml:space="preserve">or </w:t>
      </w:r>
      <w:r>
        <w:t xml:space="preserve">the oldest </w:t>
      </w:r>
      <w:r w:rsidR="00F61F5E">
        <w:t>member</w:t>
      </w:r>
      <w:r>
        <w:t xml:space="preserve">, </w:t>
      </w:r>
      <w:r w:rsidR="009D65B1">
        <w:t>among others</w:t>
      </w:r>
      <w:r>
        <w:t xml:space="preserve">. These norms may vary across countries, within countries, or across income groups.  </w:t>
      </w:r>
    </w:p>
    <w:p w14:paraId="01C1D390" w14:textId="77777777" w:rsidR="003A0140" w:rsidRPr="005A0BC2" w:rsidRDefault="003A0140" w:rsidP="00096AA3">
      <w:pPr>
        <w:pStyle w:val="ListParagraph"/>
        <w:spacing w:before="120" w:after="120" w:line="257" w:lineRule="auto"/>
        <w:ind w:left="0"/>
        <w:contextualSpacing w:val="0"/>
        <w:rPr>
          <w:rFonts w:cstheme="minorHAnsi"/>
        </w:rPr>
      </w:pPr>
    </w:p>
    <w:p w14:paraId="537E2D72" w14:textId="0315AD52" w:rsidR="00715704" w:rsidRPr="006E7D82" w:rsidRDefault="00D92BD3" w:rsidP="00C3439A">
      <w:pPr>
        <w:pStyle w:val="Heading2"/>
        <w:numPr>
          <w:ilvl w:val="0"/>
          <w:numId w:val="5"/>
        </w:numPr>
      </w:pPr>
      <w:bookmarkStart w:id="6" w:name="_Toc136425143"/>
      <w:r w:rsidRPr="006E7D82">
        <w:t xml:space="preserve">Incidence analysis </w:t>
      </w:r>
      <w:r w:rsidR="00E068AC" w:rsidRPr="006E7D82">
        <w:t xml:space="preserve">of direct fiscal interventions </w:t>
      </w:r>
      <w:proofErr w:type="gramStart"/>
      <w:r w:rsidR="00E068AC" w:rsidRPr="006E7D82">
        <w:t>on</w:t>
      </w:r>
      <w:proofErr w:type="gramEnd"/>
      <w:r w:rsidR="00E068AC" w:rsidRPr="006E7D82">
        <w:t xml:space="preserve"> </w:t>
      </w:r>
      <w:r w:rsidR="00E75BB9">
        <w:t xml:space="preserve">households with different </w:t>
      </w:r>
      <w:r w:rsidR="00E068AC" w:rsidRPr="006E7D82">
        <w:t xml:space="preserve">gender-relevant </w:t>
      </w:r>
      <w:r w:rsidR="00E75BB9">
        <w:t>composition</w:t>
      </w:r>
      <w:bookmarkEnd w:id="6"/>
      <w:r w:rsidR="003A0140">
        <w:t xml:space="preserve"> </w:t>
      </w:r>
    </w:p>
    <w:p w14:paraId="45BEDC3C" w14:textId="5939241F" w:rsidR="00760F41" w:rsidRDefault="00D62B1C" w:rsidP="00096AA3">
      <w:pPr>
        <w:pStyle w:val="ListParagraph"/>
        <w:spacing w:before="120" w:after="120" w:line="257" w:lineRule="auto"/>
        <w:ind w:left="0"/>
        <w:contextualSpacing w:val="0"/>
      </w:pPr>
      <w:r>
        <w:t xml:space="preserve">Based on household survey data, this study extends the CEQ approach developed for Uruguay by Bucheli, Lara and Tuzman (2020) to analyze the differential effects of direct fiscal interventions on population living in households classified under </w:t>
      </w:r>
      <w:r w:rsidR="00CA2DCE" w:rsidRPr="0083461A">
        <w:rPr>
          <w:rFonts w:cstheme="minorHAnsi"/>
        </w:rPr>
        <w:t>different</w:t>
      </w:r>
      <w:r>
        <w:t xml:space="preserve"> typologies </w:t>
      </w:r>
      <w:r w:rsidR="007D5F63">
        <w:t>based on their</w:t>
      </w:r>
      <w:r>
        <w:t xml:space="preserve"> gender-relevant composition.</w:t>
      </w:r>
    </w:p>
    <w:p w14:paraId="398B86F8" w14:textId="77777777" w:rsidR="002704A7" w:rsidRDefault="002704A7" w:rsidP="008A5772">
      <w:pPr>
        <w:pStyle w:val="Heading3"/>
      </w:pPr>
    </w:p>
    <w:p w14:paraId="231C38C8" w14:textId="5A097E4D" w:rsidR="005F0220" w:rsidRDefault="008C18B4" w:rsidP="00DA177A">
      <w:pPr>
        <w:pStyle w:val="Heading3"/>
        <w:numPr>
          <w:ilvl w:val="1"/>
          <w:numId w:val="5"/>
        </w:numPr>
      </w:pPr>
      <w:bookmarkStart w:id="7" w:name="_Toc136425144"/>
      <w:r w:rsidRPr="009C00D3">
        <w:t xml:space="preserve">Construction of </w:t>
      </w:r>
      <w:r w:rsidR="0023033E" w:rsidRPr="009C00D3">
        <w:t>t</w:t>
      </w:r>
      <w:r w:rsidR="008753E2" w:rsidRPr="009C00D3">
        <w:t>y</w:t>
      </w:r>
      <w:r w:rsidR="00C311A9" w:rsidRPr="009C00D3">
        <w:t xml:space="preserve">pologies of households according to </w:t>
      </w:r>
      <w:r w:rsidR="000155A9">
        <w:t xml:space="preserve">their </w:t>
      </w:r>
      <w:r w:rsidR="00C311A9" w:rsidRPr="009C00D3">
        <w:t xml:space="preserve">gender composition and </w:t>
      </w:r>
      <w:r w:rsidR="000155A9">
        <w:t xml:space="preserve">other </w:t>
      </w:r>
      <w:r w:rsidR="00CA68D4" w:rsidRPr="009C00D3">
        <w:t>characteristics</w:t>
      </w:r>
      <w:bookmarkEnd w:id="7"/>
    </w:p>
    <w:p w14:paraId="37E151BD" w14:textId="77777777" w:rsidR="00DA177A" w:rsidRPr="00DA177A" w:rsidRDefault="00DA177A" w:rsidP="00DA177A">
      <w:pPr>
        <w:pStyle w:val="ListParagraph"/>
        <w:ind w:left="765"/>
      </w:pPr>
    </w:p>
    <w:p w14:paraId="71307FC9" w14:textId="6AC191E4" w:rsidR="00BA5A0A" w:rsidRPr="00571CAA" w:rsidRDefault="00BA5A0A" w:rsidP="00BA5A0A">
      <w:pPr>
        <w:pStyle w:val="ListParagraph"/>
        <w:spacing w:before="120" w:after="120" w:line="257" w:lineRule="auto"/>
        <w:ind w:left="0"/>
        <w:contextualSpacing w:val="0"/>
        <w:rPr>
          <w:highlight w:val="yellow"/>
        </w:rPr>
      </w:pPr>
      <w:r w:rsidRPr="005B7F41">
        <w:rPr>
          <w:b/>
        </w:rPr>
        <w:t xml:space="preserve">To </w:t>
      </w:r>
      <w:r w:rsidR="008D548B">
        <w:rPr>
          <w:b/>
        </w:rPr>
        <w:t>assess</w:t>
      </w:r>
      <w:r w:rsidRPr="005B7F41">
        <w:rPr>
          <w:b/>
        </w:rPr>
        <w:t xml:space="preserve"> </w:t>
      </w:r>
      <w:r w:rsidRPr="008D548B">
        <w:rPr>
          <w:b/>
        </w:rPr>
        <w:t xml:space="preserve">the </w:t>
      </w:r>
      <w:r w:rsidR="00444AEB" w:rsidRPr="008D548B">
        <w:rPr>
          <w:b/>
        </w:rPr>
        <w:t xml:space="preserve">interaction </w:t>
      </w:r>
      <w:r w:rsidR="007611CE" w:rsidRPr="008D548B">
        <w:rPr>
          <w:b/>
        </w:rPr>
        <w:t>of</w:t>
      </w:r>
      <w:r w:rsidR="00444AEB" w:rsidRPr="008D548B">
        <w:rPr>
          <w:b/>
        </w:rPr>
        <w:t xml:space="preserve"> fiscal</w:t>
      </w:r>
      <w:r w:rsidR="00444AEB">
        <w:rPr>
          <w:b/>
        </w:rPr>
        <w:t xml:space="preserve"> policy and</w:t>
      </w:r>
      <w:r w:rsidRPr="005B7F41">
        <w:rPr>
          <w:b/>
        </w:rPr>
        <w:t xml:space="preserve"> gender equality, we classify households based on their demographic and economic profiles</w:t>
      </w:r>
      <w:r w:rsidR="0060228C">
        <w:rPr>
          <w:b/>
        </w:rPr>
        <w:t xml:space="preserve"> beyond the limiting </w:t>
      </w:r>
      <w:r w:rsidR="00F34CE5">
        <w:rPr>
          <w:b/>
        </w:rPr>
        <w:t>definition of household head</w:t>
      </w:r>
      <w:r w:rsidRPr="005B7F41">
        <w:rPr>
          <w:b/>
        </w:rPr>
        <w:t>.</w:t>
      </w:r>
      <w:r>
        <w:t xml:space="preserve"> Using information from the </w:t>
      </w:r>
      <w:r w:rsidRPr="006E04CA">
        <w:rPr>
          <w:i/>
          <w:iCs/>
        </w:rPr>
        <w:t>2017</w:t>
      </w:r>
      <w:r>
        <w:t xml:space="preserve"> </w:t>
      </w:r>
      <w:proofErr w:type="spellStart"/>
      <w:r w:rsidRPr="006E04CA">
        <w:rPr>
          <w:i/>
          <w:iCs/>
        </w:rPr>
        <w:t>Encuesta</w:t>
      </w:r>
      <w:proofErr w:type="spellEnd"/>
      <w:r w:rsidRPr="006E04CA">
        <w:rPr>
          <w:i/>
          <w:iCs/>
        </w:rPr>
        <w:t xml:space="preserve"> Continua de </w:t>
      </w:r>
      <w:proofErr w:type="spellStart"/>
      <w:r w:rsidRPr="006E04CA">
        <w:rPr>
          <w:i/>
          <w:iCs/>
        </w:rPr>
        <w:t>Hogares</w:t>
      </w:r>
      <w:proofErr w:type="spellEnd"/>
      <w:r w:rsidRPr="006E04CA">
        <w:rPr>
          <w:i/>
          <w:iCs/>
        </w:rPr>
        <w:t xml:space="preserve"> (ECH)</w:t>
      </w:r>
      <w:r>
        <w:t>,</w:t>
      </w:r>
      <w:r>
        <w:rPr>
          <w:rStyle w:val="FootnoteReference"/>
        </w:rPr>
        <w:footnoteReference w:id="6"/>
      </w:r>
      <w:r>
        <w:t xml:space="preserve"> our </w:t>
      </w:r>
      <w:r w:rsidRPr="00561154">
        <w:t xml:space="preserve">first typology is based on the </w:t>
      </w:r>
      <w:r>
        <w:t>demographic</w:t>
      </w:r>
      <w:r w:rsidRPr="00561154">
        <w:t xml:space="preserve"> composition of the household, </w:t>
      </w:r>
      <w:r>
        <w:t>considering the</w:t>
      </w:r>
      <w:r w:rsidRPr="00561154">
        <w:t xml:space="preserve"> marital status and sex of </w:t>
      </w:r>
      <w:r>
        <w:t xml:space="preserve">the </w:t>
      </w:r>
      <w:r w:rsidRPr="00561154">
        <w:t>household head</w:t>
      </w:r>
      <w:r>
        <w:t xml:space="preserve">, as well as </w:t>
      </w:r>
      <w:r w:rsidR="003729D1">
        <w:t>household size</w:t>
      </w:r>
      <w:r>
        <w:t xml:space="preserve"> and presence of </w:t>
      </w:r>
      <w:r w:rsidR="00C907C5">
        <w:t>dependents</w:t>
      </w:r>
      <w:r w:rsidR="00336288">
        <w:t xml:space="preserve"> (defined as </w:t>
      </w:r>
      <w:r>
        <w:t>individuals under 25 years of age</w:t>
      </w:r>
      <w:r w:rsidR="00336288">
        <w:t>)</w:t>
      </w:r>
      <w:r w:rsidRPr="00561154">
        <w:t>.</w:t>
      </w:r>
      <w:r>
        <w:rPr>
          <w:rStyle w:val="FootnoteReference"/>
        </w:rPr>
        <w:footnoteReference w:id="7"/>
      </w:r>
      <w:r w:rsidRPr="00561154">
        <w:t xml:space="preserve"> </w:t>
      </w:r>
      <w:r>
        <w:lastRenderedPageBreak/>
        <w:t>Based on these characteristics, households are classified as single-led (female or male), couple-led</w:t>
      </w:r>
      <w:r w:rsidR="004D5DF1">
        <w:rPr>
          <w:rStyle w:val="FootnoteReference"/>
        </w:rPr>
        <w:footnoteReference w:id="8"/>
      </w:r>
      <w:r>
        <w:t xml:space="preserve">, or extended, with or without </w:t>
      </w:r>
      <w:r w:rsidR="0013312A">
        <w:t>dependents</w:t>
      </w:r>
      <w:r>
        <w:t>.</w:t>
      </w:r>
      <w:r>
        <w:rPr>
          <w:rStyle w:val="FootnoteReference"/>
        </w:rPr>
        <w:footnoteReference w:id="9"/>
      </w:r>
      <w:r>
        <w:t xml:space="preserve"> </w:t>
      </w:r>
      <w:r w:rsidRPr="00561154">
        <w:t xml:space="preserve">As for the economic typology, it is based on </w:t>
      </w:r>
      <w:r>
        <w:t xml:space="preserve">labor </w:t>
      </w:r>
      <w:r w:rsidRPr="00561154">
        <w:t>income generation</w:t>
      </w:r>
      <w:r>
        <w:t xml:space="preserve"> by female</w:t>
      </w:r>
      <w:r w:rsidR="0073205F">
        <w:t>s</w:t>
      </w:r>
      <w:r>
        <w:t xml:space="preserve"> and male</w:t>
      </w:r>
      <w:r w:rsidR="0073205F">
        <w:t>s</w:t>
      </w:r>
      <w:r w:rsidRPr="00561154">
        <w:t>.</w:t>
      </w:r>
      <w:r w:rsidR="00AD2A59">
        <w:t xml:space="preserve"> </w:t>
      </w:r>
      <w:r w:rsidRPr="00561154">
        <w:t>We classify households based on eac</w:t>
      </w:r>
      <w:r>
        <w:t xml:space="preserve">h gender’s contribution to household’s total labor income. To do so, for each household, we add individual-level labor income (including employer contributions) by gender and divide it over total labor income in the household, categorizing households depending on the percentage contributed by each gender. Households are classified as female-earner (male-earner) if only </w:t>
      </w:r>
      <w:r w:rsidR="00A443DA">
        <w:t xml:space="preserve">women </w:t>
      </w:r>
      <w:r>
        <w:t>(m</w:t>
      </w:r>
      <w:r w:rsidR="00A443DA">
        <w:t>en</w:t>
      </w:r>
      <w:r>
        <w:t xml:space="preserve">) earn labor income. Households with both male and female earners might fall in one of the following categories: (i) female dominated (at least 55 percent of </w:t>
      </w:r>
      <w:r w:rsidR="00F02E04">
        <w:t xml:space="preserve">the </w:t>
      </w:r>
      <w:r>
        <w:t xml:space="preserve">household’s labor income is generated by women); (ii) male dominated (at least 55 percent of </w:t>
      </w:r>
      <w:r w:rsidR="00F02E04">
        <w:t xml:space="preserve">the </w:t>
      </w:r>
      <w:r>
        <w:t xml:space="preserve">household’s labor income is generated by men); and (iii) </w:t>
      </w:r>
      <w:r w:rsidR="00703B65">
        <w:t xml:space="preserve">equal </w:t>
      </w:r>
      <w:r>
        <w:t xml:space="preserve">earners (no gender contributes more than 55 percent </w:t>
      </w:r>
      <w:r w:rsidR="00565F2D">
        <w:t xml:space="preserve">to </w:t>
      </w:r>
      <w:r>
        <w:t xml:space="preserve">household’s labor income).  </w:t>
      </w:r>
    </w:p>
    <w:p w14:paraId="6CF12067" w14:textId="7A782DE0" w:rsidR="00370690" w:rsidRPr="00370690" w:rsidRDefault="00D23A01" w:rsidP="00370690">
      <w:pPr>
        <w:pStyle w:val="ListParagraph"/>
        <w:spacing w:before="120" w:after="120" w:line="257" w:lineRule="auto"/>
        <w:ind w:left="0"/>
        <w:contextualSpacing w:val="0"/>
        <w:rPr>
          <w:b/>
          <w:bCs/>
        </w:rPr>
      </w:pPr>
      <w:r w:rsidRPr="00817C0D">
        <w:rPr>
          <w:b/>
          <w:bCs/>
        </w:rPr>
        <w:t>Although female</w:t>
      </w:r>
      <w:r>
        <w:rPr>
          <w:b/>
          <w:bCs/>
        </w:rPr>
        <w:t xml:space="preserve"> single-parent </w:t>
      </w:r>
      <w:r w:rsidRPr="00817C0D">
        <w:rPr>
          <w:b/>
          <w:bCs/>
        </w:rPr>
        <w:t xml:space="preserve">households account for a relatively small share of </w:t>
      </w:r>
      <w:r>
        <w:rPr>
          <w:b/>
          <w:bCs/>
        </w:rPr>
        <w:t xml:space="preserve">households </w:t>
      </w:r>
      <w:r w:rsidRPr="00817C0D">
        <w:rPr>
          <w:b/>
          <w:bCs/>
        </w:rPr>
        <w:t xml:space="preserve">in Uruguay, they are disproportionately represented among the </w:t>
      </w:r>
      <w:r w:rsidRPr="00D9326F">
        <w:rPr>
          <w:b/>
          <w:bCs/>
        </w:rPr>
        <w:t>poor</w:t>
      </w:r>
      <w:r w:rsidRPr="00996E5D">
        <w:rPr>
          <w:b/>
          <w:bCs/>
        </w:rPr>
        <w:t>.</w:t>
      </w:r>
      <w:r w:rsidRPr="00817C0D">
        <w:rPr>
          <w:b/>
          <w:bCs/>
        </w:rPr>
        <w:t xml:space="preserve"> </w:t>
      </w:r>
      <w:r w:rsidRPr="00D9326F">
        <w:t xml:space="preserve">The most </w:t>
      </w:r>
      <w:r>
        <w:t>prevalent</w:t>
      </w:r>
      <w:r w:rsidRPr="00D9326F">
        <w:t xml:space="preserve"> type of household</w:t>
      </w:r>
      <w:r>
        <w:t xml:space="preserve"> </w:t>
      </w:r>
      <w:r w:rsidR="005C56FC">
        <w:t xml:space="preserve">in Uruguay </w:t>
      </w:r>
      <w:r>
        <w:t>is comprised of a couple – consisting of two individuals who are married or cohabitating – plus children under 25 years of age, accounting for 31.6 percent of</w:t>
      </w:r>
      <w:r w:rsidR="00171520">
        <w:t xml:space="preserve"> total</w:t>
      </w:r>
      <w:r>
        <w:t xml:space="preserve"> households in the country (</w:t>
      </w:r>
      <w:r>
        <w:rPr>
          <w:highlight w:val="yellow"/>
        </w:rPr>
        <w:fldChar w:fldCharType="begin"/>
      </w:r>
      <w:r>
        <w:instrText xml:space="preserve"> REF _Ref74917111 \h </w:instrText>
      </w:r>
      <w:r>
        <w:rPr>
          <w:highlight w:val="yellow"/>
        </w:rPr>
      </w:r>
      <w:r>
        <w:rPr>
          <w:highlight w:val="yellow"/>
        </w:rPr>
        <w:fldChar w:fldCharType="separate"/>
      </w:r>
      <w:r w:rsidRPr="0091340B">
        <w:t xml:space="preserve">Figure </w:t>
      </w:r>
      <w:r>
        <w:rPr>
          <w:noProof/>
        </w:rPr>
        <w:t>2</w:t>
      </w:r>
      <w:r>
        <w:rPr>
          <w:highlight w:val="yellow"/>
        </w:rPr>
        <w:fldChar w:fldCharType="end"/>
      </w:r>
      <w:r>
        <w:t>).</w:t>
      </w:r>
      <w:r>
        <w:rPr>
          <w:rStyle w:val="FootnoteReference"/>
        </w:rPr>
        <w:footnoteReference w:id="10"/>
      </w:r>
      <w:r>
        <w:t xml:space="preserve"> Couples without children are the second-largest group (18.4 percent). About a third of households are single-person or single-parent household</w:t>
      </w:r>
      <w:r w:rsidRPr="00D9326F">
        <w:t>s</w:t>
      </w:r>
      <w:r>
        <w:t>, which can be classified by gender of the household head</w:t>
      </w:r>
      <w:r w:rsidRPr="00D9326F">
        <w:t xml:space="preserve">. </w:t>
      </w:r>
      <w:r w:rsidR="009B1B6D">
        <w:t>Among these</w:t>
      </w:r>
      <w:r w:rsidR="007B7C54">
        <w:t>,</w:t>
      </w:r>
      <w:r w:rsidR="009B1B6D">
        <w:t xml:space="preserve"> </w:t>
      </w:r>
      <w:r w:rsidRPr="00D9326F">
        <w:t xml:space="preserve">female-type households are more prevalent than male-type households, capturing 18.9 and </w:t>
      </w:r>
      <w:r w:rsidRPr="004A295A">
        <w:t xml:space="preserve">10.4 percent of </w:t>
      </w:r>
      <w:r>
        <w:t>total</w:t>
      </w:r>
      <w:r w:rsidRPr="00D9326F">
        <w:t xml:space="preserve"> </w:t>
      </w:r>
      <w:r>
        <w:t>households</w:t>
      </w:r>
      <w:r w:rsidRPr="004A295A">
        <w:t>, respectively.</w:t>
      </w:r>
      <w:r>
        <w:t xml:space="preserve"> Among female-type households, 46.0 percent of them have children, </w:t>
      </w:r>
      <w:r w:rsidR="00CC0ABE">
        <w:t>but</w:t>
      </w:r>
      <w:r>
        <w:t xml:space="preserve"> this is not the case for male-type households, where only 14.9 percent of them have children living in the household. Female categories are overrepresented among the poor, capturing 27.1 percent of poor households. Meanwhile, male-type households are </w:t>
      </w:r>
      <w:r w:rsidRPr="00C85064">
        <w:t>less likely to be poor (</w:t>
      </w:r>
      <w:r w:rsidR="001959B3">
        <w:t xml:space="preserve">representing </w:t>
      </w:r>
      <w:r w:rsidRPr="00C85064">
        <w:t>10.4 percent of total households</w:t>
      </w:r>
      <w:r w:rsidR="000F3BE7">
        <w:t>, while</w:t>
      </w:r>
      <w:r w:rsidR="00C9495D">
        <w:t xml:space="preserve"> just</w:t>
      </w:r>
      <w:r w:rsidRPr="00C85064">
        <w:t xml:space="preserve"> 5.4 percent of poor households).</w:t>
      </w:r>
      <w:r w:rsidR="00B97054">
        <w:t xml:space="preserve"> These patterns are mainly driven by single-parent households.</w:t>
      </w:r>
      <w:r w:rsidRPr="00C85064">
        <w:t xml:space="preserve"> The poverty rate is </w:t>
      </w:r>
      <w:r w:rsidR="00E70F61">
        <w:t>15.4</w:t>
      </w:r>
      <w:r>
        <w:t xml:space="preserve"> percent </w:t>
      </w:r>
      <w:r w:rsidR="00635EE2">
        <w:t xml:space="preserve">among </w:t>
      </w:r>
      <w:r>
        <w:t xml:space="preserve">female single-parent </w:t>
      </w:r>
      <w:r w:rsidRPr="003A6FA1">
        <w:t xml:space="preserve">households, whereas it is </w:t>
      </w:r>
      <w:r w:rsidR="00B6785A">
        <w:t>7</w:t>
      </w:r>
      <w:r w:rsidR="00D213D6">
        <w:t>.5</w:t>
      </w:r>
      <w:r w:rsidRPr="003A6FA1">
        <w:t xml:space="preserve"> percent</w:t>
      </w:r>
      <w:r w:rsidRPr="003F34FA">
        <w:t xml:space="preserve"> </w:t>
      </w:r>
      <w:r w:rsidR="00053F4E">
        <w:t>among</w:t>
      </w:r>
      <w:r w:rsidR="00053F4E" w:rsidRPr="003F34FA">
        <w:t xml:space="preserve"> </w:t>
      </w:r>
      <w:r w:rsidR="00B2754B">
        <w:t xml:space="preserve">both </w:t>
      </w:r>
      <w:r w:rsidRPr="003F34FA">
        <w:t>male single-parent households and</w:t>
      </w:r>
      <w:r w:rsidRPr="00E21AF1">
        <w:t xml:space="preserve"> </w:t>
      </w:r>
      <w:r w:rsidRPr="00AE784A">
        <w:t xml:space="preserve">households </w:t>
      </w:r>
      <w:r w:rsidRPr="00B538AD">
        <w:t>comprised of a couple with children</w:t>
      </w:r>
      <w:r w:rsidRPr="000C057D">
        <w:t>.</w:t>
      </w:r>
      <w:r w:rsidR="009B432F" w:rsidRPr="00E73F16">
        <w:t xml:space="preserve"> </w:t>
      </w:r>
      <w:r w:rsidR="00370690" w:rsidRPr="008A5772">
        <w:t>Overall, households with children are considerably more likely to be poor, as they represent 50.8 percent of total households but account for 88.7 percent of poor</w:t>
      </w:r>
      <w:r w:rsidR="008D5088">
        <w:t xml:space="preserve"> households</w:t>
      </w:r>
      <w:r w:rsidR="00370690" w:rsidRPr="008A5772">
        <w:t xml:space="preserve">. </w:t>
      </w:r>
    </w:p>
    <w:p w14:paraId="75A62274" w14:textId="0DF83EA2" w:rsidR="000D0EBA" w:rsidRDefault="000D0EBA" w:rsidP="0091340B">
      <w:pPr>
        <w:pStyle w:val="Caption"/>
        <w:keepNext/>
        <w:jc w:val="center"/>
        <w:rPr>
          <w:sz w:val="22"/>
          <w:szCs w:val="22"/>
        </w:rPr>
      </w:pPr>
      <w:bookmarkStart w:id="8" w:name="_Ref74917111"/>
      <w:r w:rsidRPr="0091340B">
        <w:rPr>
          <w:sz w:val="22"/>
          <w:szCs w:val="22"/>
        </w:rPr>
        <w:lastRenderedPageBreak/>
        <w:t xml:space="preserve">Figure </w:t>
      </w:r>
      <w:r w:rsidR="00E938A1">
        <w:rPr>
          <w:sz w:val="22"/>
          <w:szCs w:val="22"/>
        </w:rPr>
        <w:fldChar w:fldCharType="begin"/>
      </w:r>
      <w:r w:rsidR="00E938A1">
        <w:rPr>
          <w:sz w:val="22"/>
          <w:szCs w:val="22"/>
        </w:rPr>
        <w:instrText xml:space="preserve"> SEQ Figure \* ARABIC </w:instrText>
      </w:r>
      <w:r w:rsidR="00E938A1">
        <w:rPr>
          <w:sz w:val="22"/>
          <w:szCs w:val="22"/>
        </w:rPr>
        <w:fldChar w:fldCharType="separate"/>
      </w:r>
      <w:r w:rsidR="00B91265">
        <w:rPr>
          <w:noProof/>
          <w:sz w:val="22"/>
          <w:szCs w:val="22"/>
        </w:rPr>
        <w:t>2</w:t>
      </w:r>
      <w:r w:rsidR="00E938A1">
        <w:rPr>
          <w:sz w:val="22"/>
          <w:szCs w:val="22"/>
        </w:rPr>
        <w:fldChar w:fldCharType="end"/>
      </w:r>
      <w:bookmarkEnd w:id="8"/>
      <w:r w:rsidR="0091340B" w:rsidRPr="0091340B">
        <w:rPr>
          <w:sz w:val="22"/>
          <w:szCs w:val="22"/>
        </w:rPr>
        <w:t>.</w:t>
      </w:r>
      <w:r w:rsidRPr="0091340B">
        <w:rPr>
          <w:sz w:val="22"/>
          <w:szCs w:val="22"/>
        </w:rPr>
        <w:t xml:space="preserve"> Distribution of Households by Demographic Typology</w:t>
      </w:r>
    </w:p>
    <w:p w14:paraId="1FDB4E02" w14:textId="52782552" w:rsidR="00E45286" w:rsidRDefault="008619BD" w:rsidP="0091340B">
      <w:pPr>
        <w:pStyle w:val="Caption"/>
        <w:keepNext/>
        <w:jc w:val="center"/>
      </w:pPr>
      <w:r>
        <w:rPr>
          <w:noProof/>
        </w:rPr>
        <w:drawing>
          <wp:inline distT="0" distB="0" distL="0" distR="0" wp14:anchorId="663CA868" wp14:editId="5D17D6EE">
            <wp:extent cx="4552950" cy="3181350"/>
            <wp:effectExtent l="0" t="0" r="0" b="0"/>
            <wp:docPr id="51" name="Chart 51">
              <a:extLst xmlns:a="http://schemas.openxmlformats.org/drawingml/2006/main">
                <a:ext uri="{FF2B5EF4-FFF2-40B4-BE49-F238E27FC236}">
                  <a16:creationId xmlns:a16="http://schemas.microsoft.com/office/drawing/2014/main" id="{5AC9EEE9-23EF-48CD-B9E5-A14D0A1DF4A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9D9E8B7" w14:textId="545C5531" w:rsidR="003C04B4" w:rsidRDefault="003C04B4" w:rsidP="003C04B4">
      <w:pPr>
        <w:pStyle w:val="ListParagraph"/>
        <w:spacing w:before="120" w:after="120" w:line="257" w:lineRule="auto"/>
        <w:ind w:left="0"/>
        <w:contextualSpacing w:val="0"/>
      </w:pPr>
      <w:bookmarkStart w:id="9" w:name="_Ref74917098"/>
      <w:r w:rsidRPr="00664A94">
        <w:rPr>
          <w:b/>
          <w:bCs/>
        </w:rPr>
        <w:t xml:space="preserve">Men are the main </w:t>
      </w:r>
      <w:r w:rsidRPr="003A6FA1">
        <w:rPr>
          <w:b/>
          <w:bCs/>
        </w:rPr>
        <w:t>labor income providers</w:t>
      </w:r>
      <w:r w:rsidRPr="00664A94">
        <w:rPr>
          <w:b/>
          <w:bCs/>
        </w:rPr>
        <w:t xml:space="preserve"> in nearly half of Uruguayan households</w:t>
      </w:r>
      <w:r w:rsidRPr="003A6FA1">
        <w:rPr>
          <w:b/>
          <w:bCs/>
        </w:rPr>
        <w:t>, while women are the main income providers in only a quarter of them</w:t>
      </w:r>
      <w:r>
        <w:t xml:space="preserve"> (Figure 3). Households where men and women contribute equally to household</w:t>
      </w:r>
      <w:r w:rsidR="004F434F">
        <w:t>’s</w:t>
      </w:r>
      <w:r>
        <w:t xml:space="preserve"> </w:t>
      </w:r>
      <w:r w:rsidR="004B4314">
        <w:t xml:space="preserve">labor </w:t>
      </w:r>
      <w:r>
        <w:t xml:space="preserve">income account for </w:t>
      </w:r>
      <w:r w:rsidR="00392288">
        <w:t xml:space="preserve">about </w:t>
      </w:r>
      <w:r>
        <w:t xml:space="preserve">7 percent of the total, even though both sexes work in 36 percent of households in the country. In terms of labor market participation, households in which only men work represent 27 percent of total households, compared to 16 percent of households in which only women work. Households in which no one works account for 21 percent </w:t>
      </w:r>
      <w:r w:rsidR="003B4B07">
        <w:t xml:space="preserve">of the total </w:t>
      </w:r>
      <w:r>
        <w:t xml:space="preserve">and are usually </w:t>
      </w:r>
      <w:r w:rsidRPr="003A6FA1">
        <w:t xml:space="preserve">comprised </w:t>
      </w:r>
      <w:r w:rsidRPr="003F34FA">
        <w:t>of</w:t>
      </w:r>
      <w:r w:rsidRPr="00E21AF1">
        <w:t xml:space="preserve"> elderly people (</w:t>
      </w:r>
      <w:r w:rsidRPr="00AE784A">
        <w:t xml:space="preserve">over </w:t>
      </w:r>
      <w:r w:rsidRPr="00935342">
        <w:t>60 years</w:t>
      </w:r>
      <w:r w:rsidR="006846EF">
        <w:t xml:space="preserve"> of age</w:t>
      </w:r>
      <w:r w:rsidRPr="00935342">
        <w:t>).</w:t>
      </w:r>
      <w:r w:rsidRPr="003A6FA1">
        <w:rPr>
          <w:rStyle w:val="FootnoteReference"/>
        </w:rPr>
        <w:footnoteReference w:id="11"/>
      </w:r>
      <w:r w:rsidRPr="003A6FA1">
        <w:t xml:space="preserve"> Hou</w:t>
      </w:r>
      <w:r w:rsidRPr="003F34FA">
        <w:t xml:space="preserve">seholds </w:t>
      </w:r>
      <w:r w:rsidRPr="00E21AF1">
        <w:t>where women</w:t>
      </w:r>
      <w:r w:rsidRPr="00AE784A">
        <w:t xml:space="preserve"> are the main </w:t>
      </w:r>
      <w:r w:rsidRPr="00935342">
        <w:t xml:space="preserve">income earners </w:t>
      </w:r>
      <w:r w:rsidRPr="003A6FA1">
        <w:t>are slightly more likely to be</w:t>
      </w:r>
      <w:r w:rsidRPr="00935342">
        <w:t xml:space="preserve"> poor</w:t>
      </w:r>
      <w:r w:rsidRPr="003A6FA1">
        <w:t xml:space="preserve"> (</w:t>
      </w:r>
      <w:r w:rsidR="00621EC2">
        <w:t>6.1</w:t>
      </w:r>
      <w:r w:rsidRPr="003A6FA1">
        <w:t xml:space="preserve"> percent) than those where men are the main earners (</w:t>
      </w:r>
      <w:r w:rsidR="00834BAC">
        <w:t>5.5</w:t>
      </w:r>
      <w:r w:rsidRPr="003A6FA1">
        <w:t xml:space="preserve"> percent).</w:t>
      </w:r>
      <w:r>
        <w:t xml:space="preserve"> Nevertheless, poverty seems to be more related </w:t>
      </w:r>
      <w:r w:rsidR="00172E6E">
        <w:t xml:space="preserve">to </w:t>
      </w:r>
      <w:r>
        <w:t xml:space="preserve">the number of working household members than </w:t>
      </w:r>
      <w:r w:rsidR="00172E6E">
        <w:t>to</w:t>
      </w:r>
      <w:r>
        <w:t xml:space="preserve"> the gender and earnings-share of those members. Households</w:t>
      </w:r>
      <w:r w:rsidRPr="003F2DC0">
        <w:t xml:space="preserve"> </w:t>
      </w:r>
      <w:r>
        <w:t>in which</w:t>
      </w:r>
      <w:r w:rsidRPr="003F2DC0">
        <w:t xml:space="preserve"> labor income is provided by only one gender (either male or female),</w:t>
      </w:r>
      <w:r>
        <w:t xml:space="preserve"> tend to be poorer </w:t>
      </w:r>
      <w:r w:rsidR="00697671">
        <w:t xml:space="preserve">(7.4 percent) </w:t>
      </w:r>
      <w:r>
        <w:t>than those where both men and women contribute to household’s income</w:t>
      </w:r>
      <w:r w:rsidR="002B6874">
        <w:t xml:space="preserve"> (3.1 percent)</w:t>
      </w:r>
      <w:r>
        <w:t>, regardless of their earnings share (female-dominated dual-earners, male-dominated dual-earners, and equal-earners).</w:t>
      </w:r>
    </w:p>
    <w:p w14:paraId="3E1BA061" w14:textId="37D30C57" w:rsidR="006E0F76" w:rsidRDefault="006E0F76" w:rsidP="0091340B">
      <w:pPr>
        <w:pStyle w:val="Caption"/>
        <w:keepNext/>
        <w:jc w:val="center"/>
        <w:rPr>
          <w:sz w:val="22"/>
          <w:szCs w:val="22"/>
        </w:rPr>
      </w:pPr>
      <w:r w:rsidRPr="0091340B">
        <w:rPr>
          <w:sz w:val="22"/>
          <w:szCs w:val="22"/>
        </w:rPr>
        <w:lastRenderedPageBreak/>
        <w:t xml:space="preserve">Figure </w:t>
      </w:r>
      <w:r w:rsidR="00E938A1">
        <w:rPr>
          <w:sz w:val="22"/>
          <w:szCs w:val="22"/>
        </w:rPr>
        <w:fldChar w:fldCharType="begin"/>
      </w:r>
      <w:r w:rsidR="00E938A1">
        <w:rPr>
          <w:sz w:val="22"/>
          <w:szCs w:val="22"/>
        </w:rPr>
        <w:instrText xml:space="preserve"> SEQ Figure \* ARABIC </w:instrText>
      </w:r>
      <w:r w:rsidR="00E938A1">
        <w:rPr>
          <w:sz w:val="22"/>
          <w:szCs w:val="22"/>
        </w:rPr>
        <w:fldChar w:fldCharType="separate"/>
      </w:r>
      <w:r w:rsidR="00B91265">
        <w:rPr>
          <w:noProof/>
          <w:sz w:val="22"/>
          <w:szCs w:val="22"/>
        </w:rPr>
        <w:t>3</w:t>
      </w:r>
      <w:r w:rsidR="00E938A1">
        <w:rPr>
          <w:sz w:val="22"/>
          <w:szCs w:val="22"/>
        </w:rPr>
        <w:fldChar w:fldCharType="end"/>
      </w:r>
      <w:bookmarkEnd w:id="9"/>
      <w:r w:rsidR="0091340B" w:rsidRPr="0091340B">
        <w:rPr>
          <w:sz w:val="22"/>
          <w:szCs w:val="22"/>
        </w:rPr>
        <w:t>.</w:t>
      </w:r>
      <w:r w:rsidRPr="0091340B">
        <w:rPr>
          <w:sz w:val="22"/>
          <w:szCs w:val="22"/>
        </w:rPr>
        <w:t xml:space="preserve"> Distribution of Households by </w:t>
      </w:r>
      <w:r w:rsidR="00687150" w:rsidRPr="00827EBB">
        <w:rPr>
          <w:sz w:val="22"/>
          <w:szCs w:val="22"/>
        </w:rPr>
        <w:t>Economic Typology</w:t>
      </w:r>
    </w:p>
    <w:p w14:paraId="47DF73D7" w14:textId="205C2B56" w:rsidR="0029298E" w:rsidRDefault="00DD645C" w:rsidP="00ED1FF9">
      <w:pPr>
        <w:jc w:val="center"/>
      </w:pPr>
      <w:r>
        <w:rPr>
          <w:noProof/>
        </w:rPr>
        <w:drawing>
          <wp:inline distT="0" distB="0" distL="0" distR="0" wp14:anchorId="0AF746A8" wp14:editId="4B5E484A">
            <wp:extent cx="4562475" cy="3676650"/>
            <wp:effectExtent l="0" t="0" r="0" b="0"/>
            <wp:docPr id="2" name="Chart 2">
              <a:extLst xmlns:a="http://schemas.openxmlformats.org/drawingml/2006/main">
                <a:ext uri="{FF2B5EF4-FFF2-40B4-BE49-F238E27FC236}">
                  <a16:creationId xmlns:a16="http://schemas.microsoft.com/office/drawing/2014/main" id="{BA284ED1-5C85-4621-AE81-31E1F8D98F5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799CC9E" w14:textId="42C7253D" w:rsidR="003C04B4" w:rsidRPr="003647B7" w:rsidRDefault="009360F2" w:rsidP="003C04B4">
      <w:pPr>
        <w:pStyle w:val="ListParagraph"/>
        <w:spacing w:before="120" w:after="120" w:line="257" w:lineRule="auto"/>
        <w:ind w:left="0"/>
        <w:contextualSpacing w:val="0"/>
        <w:rPr>
          <w:b/>
        </w:rPr>
      </w:pPr>
      <w:r>
        <w:rPr>
          <w:b/>
        </w:rPr>
        <w:t xml:space="preserve">Women are less likely to work when they live with their </w:t>
      </w:r>
      <w:r w:rsidR="00172E6E">
        <w:rPr>
          <w:b/>
        </w:rPr>
        <w:t>partners</w:t>
      </w:r>
      <w:r>
        <w:rPr>
          <w:b/>
        </w:rPr>
        <w:t xml:space="preserve">. </w:t>
      </w:r>
      <w:r w:rsidR="003C04B4">
        <w:rPr>
          <w:bCs/>
        </w:rPr>
        <w:t xml:space="preserve">The interaction </w:t>
      </w:r>
      <w:r w:rsidR="00B63B3A">
        <w:rPr>
          <w:bCs/>
        </w:rPr>
        <w:t xml:space="preserve">between </w:t>
      </w:r>
      <w:r w:rsidR="003C04B4">
        <w:rPr>
          <w:bCs/>
        </w:rPr>
        <w:t xml:space="preserve">the demographic and economic typologies shows that </w:t>
      </w:r>
      <w:r w:rsidR="00094BD9">
        <w:rPr>
          <w:bCs/>
        </w:rPr>
        <w:t xml:space="preserve">in </w:t>
      </w:r>
      <w:r w:rsidR="00126D45">
        <w:rPr>
          <w:bCs/>
        </w:rPr>
        <w:t xml:space="preserve">about </w:t>
      </w:r>
      <w:r w:rsidR="006F1604">
        <w:rPr>
          <w:bCs/>
        </w:rPr>
        <w:t xml:space="preserve">87 </w:t>
      </w:r>
      <w:r w:rsidR="00126D45">
        <w:rPr>
          <w:bCs/>
        </w:rPr>
        <w:t xml:space="preserve">percent of </w:t>
      </w:r>
      <w:r w:rsidR="00161ACF">
        <w:rPr>
          <w:bCs/>
        </w:rPr>
        <w:t>female-type</w:t>
      </w:r>
      <w:r w:rsidR="00126D45">
        <w:rPr>
          <w:bCs/>
        </w:rPr>
        <w:t xml:space="preserve"> households </w:t>
      </w:r>
      <w:r w:rsidR="00671B4D">
        <w:rPr>
          <w:bCs/>
        </w:rPr>
        <w:t xml:space="preserve">women work, compared to </w:t>
      </w:r>
      <w:r w:rsidR="006F1604">
        <w:rPr>
          <w:bCs/>
        </w:rPr>
        <w:t xml:space="preserve">72 </w:t>
      </w:r>
      <w:r w:rsidR="00671B4D">
        <w:rPr>
          <w:bCs/>
        </w:rPr>
        <w:t>percent</w:t>
      </w:r>
      <w:r w:rsidR="009128B3">
        <w:rPr>
          <w:bCs/>
        </w:rPr>
        <w:t xml:space="preserve"> </w:t>
      </w:r>
      <w:r w:rsidR="00671B4D">
        <w:rPr>
          <w:bCs/>
        </w:rPr>
        <w:t xml:space="preserve">in </w:t>
      </w:r>
      <w:r w:rsidR="00B304B6">
        <w:rPr>
          <w:bCs/>
        </w:rPr>
        <w:t>couple-led households.</w:t>
      </w:r>
      <w:r w:rsidR="003D02F7">
        <w:rPr>
          <w:rStyle w:val="FootnoteReference"/>
          <w:bCs/>
        </w:rPr>
        <w:footnoteReference w:id="12"/>
      </w:r>
      <w:r w:rsidR="00B304B6">
        <w:rPr>
          <w:bCs/>
        </w:rPr>
        <w:t xml:space="preserve"> </w:t>
      </w:r>
      <w:r w:rsidR="00841DB0">
        <w:rPr>
          <w:bCs/>
        </w:rPr>
        <w:t>A</w:t>
      </w:r>
      <w:r w:rsidR="003C04B4">
        <w:rPr>
          <w:bCs/>
        </w:rPr>
        <w:t xml:space="preserve"> common household structure in Uruguay is that of a </w:t>
      </w:r>
      <w:r w:rsidR="003D528B">
        <w:rPr>
          <w:bCs/>
        </w:rPr>
        <w:t>couple with children under 25 years of age</w:t>
      </w:r>
      <w:r w:rsidR="003C04B4" w:rsidRPr="00C07EF9">
        <w:rPr>
          <w:bCs/>
        </w:rPr>
        <w:t>. Although in most</w:t>
      </w:r>
      <w:r w:rsidR="004942E0">
        <w:rPr>
          <w:bCs/>
        </w:rPr>
        <w:t xml:space="preserve"> of these </w:t>
      </w:r>
      <w:r w:rsidR="003C04B4" w:rsidRPr="00C07EF9">
        <w:rPr>
          <w:bCs/>
        </w:rPr>
        <w:t xml:space="preserve">households both members of the couple work and contribute to household’s </w:t>
      </w:r>
      <w:r w:rsidR="003647B7">
        <w:rPr>
          <w:bCs/>
        </w:rPr>
        <w:t xml:space="preserve">labor </w:t>
      </w:r>
      <w:r w:rsidR="003C04B4" w:rsidRPr="00C07EF9">
        <w:rPr>
          <w:bCs/>
        </w:rPr>
        <w:t xml:space="preserve">income, in </w:t>
      </w:r>
      <w:r w:rsidR="00E51EB8">
        <w:rPr>
          <w:bCs/>
        </w:rPr>
        <w:t>29</w:t>
      </w:r>
      <w:r w:rsidR="00E51EB8" w:rsidRPr="003F34FA">
        <w:rPr>
          <w:bCs/>
        </w:rPr>
        <w:t xml:space="preserve"> </w:t>
      </w:r>
      <w:r w:rsidR="003C04B4" w:rsidRPr="003F34FA">
        <w:rPr>
          <w:bCs/>
        </w:rPr>
        <w:t>per</w:t>
      </w:r>
      <w:r w:rsidR="003C04B4" w:rsidRPr="00E21AF1">
        <w:rPr>
          <w:bCs/>
        </w:rPr>
        <w:t xml:space="preserve">cent of them </w:t>
      </w:r>
      <w:r w:rsidR="003C04B4" w:rsidRPr="00AE784A">
        <w:rPr>
          <w:bCs/>
        </w:rPr>
        <w:t>only the man works</w:t>
      </w:r>
      <w:r w:rsidR="003C04B4">
        <w:rPr>
          <w:bCs/>
        </w:rPr>
        <w:t xml:space="preserve"> (Table 1)</w:t>
      </w:r>
      <w:r w:rsidR="003C04B4" w:rsidRPr="003F34FA">
        <w:rPr>
          <w:bCs/>
        </w:rPr>
        <w:t>.</w:t>
      </w:r>
      <w:r w:rsidR="003C04B4">
        <w:rPr>
          <w:bCs/>
        </w:rPr>
        <w:t xml:space="preserve"> The gender gap in labor market participation is </w:t>
      </w:r>
      <w:r w:rsidR="00E51EB8">
        <w:rPr>
          <w:bCs/>
        </w:rPr>
        <w:t xml:space="preserve">13 </w:t>
      </w:r>
      <w:r w:rsidR="00003230">
        <w:rPr>
          <w:bCs/>
        </w:rPr>
        <w:t>percent</w:t>
      </w:r>
      <w:r w:rsidR="00C66211">
        <w:rPr>
          <w:bCs/>
        </w:rPr>
        <w:t xml:space="preserve">age points </w:t>
      </w:r>
      <w:r w:rsidR="00003230">
        <w:rPr>
          <w:bCs/>
        </w:rPr>
        <w:t>larger</w:t>
      </w:r>
      <w:r w:rsidR="003C04B4">
        <w:rPr>
          <w:bCs/>
        </w:rPr>
        <w:t xml:space="preserve"> in </w:t>
      </w:r>
      <w:r w:rsidR="00C461D2">
        <w:rPr>
          <w:bCs/>
        </w:rPr>
        <w:t xml:space="preserve">couple-led </w:t>
      </w:r>
      <w:r w:rsidR="003C04B4">
        <w:rPr>
          <w:bCs/>
        </w:rPr>
        <w:t>households with children than in those without children.</w:t>
      </w:r>
      <w:r w:rsidR="003C04B4">
        <w:rPr>
          <w:rStyle w:val="FootnoteReference"/>
          <w:bCs/>
        </w:rPr>
        <w:footnoteReference w:id="13"/>
      </w:r>
      <w:r w:rsidR="003C04B4">
        <w:rPr>
          <w:bCs/>
        </w:rPr>
        <w:t xml:space="preserve"> Not only are women in a couple more likely to work if there are no children in the household</w:t>
      </w:r>
      <w:r w:rsidR="00CC54BF">
        <w:rPr>
          <w:bCs/>
        </w:rPr>
        <w:t xml:space="preserve"> (relative to men)</w:t>
      </w:r>
      <w:r w:rsidR="003C04B4">
        <w:rPr>
          <w:bCs/>
        </w:rPr>
        <w:t xml:space="preserve">, but they are also </w:t>
      </w:r>
      <w:r w:rsidR="00C73F72">
        <w:rPr>
          <w:bCs/>
        </w:rPr>
        <w:t xml:space="preserve">relatively </w:t>
      </w:r>
      <w:r w:rsidR="003C04B4">
        <w:rPr>
          <w:bCs/>
        </w:rPr>
        <w:t>more likely to be the main source of household</w:t>
      </w:r>
      <w:r w:rsidR="00366A75">
        <w:rPr>
          <w:bCs/>
        </w:rPr>
        <w:t>’s</w:t>
      </w:r>
      <w:r w:rsidR="003C04B4">
        <w:rPr>
          <w:bCs/>
        </w:rPr>
        <w:t xml:space="preserve"> labor income.</w:t>
      </w:r>
      <w:r w:rsidR="003C04B4">
        <w:rPr>
          <w:rStyle w:val="FootnoteReference"/>
          <w:bCs/>
        </w:rPr>
        <w:footnoteReference w:id="14"/>
      </w:r>
      <w:r w:rsidR="003C04B4">
        <w:rPr>
          <w:bCs/>
        </w:rPr>
        <w:t xml:space="preserve"> This suggests that women in households without children tend to work longer hours, have better-paying jobs, or earn higher wages than women in households with children.</w:t>
      </w:r>
      <w:r w:rsidR="0027040E">
        <w:rPr>
          <w:bCs/>
        </w:rPr>
        <w:t xml:space="preserve"> </w:t>
      </w:r>
      <w:r w:rsidR="003C04B4" w:rsidRPr="001E7553">
        <w:rPr>
          <w:noProof/>
        </w:rPr>
        <w:t xml:space="preserve"> </w:t>
      </w:r>
    </w:p>
    <w:p w14:paraId="3E2C0F10" w14:textId="49D9A255" w:rsidR="008212AF" w:rsidRPr="002C45C4" w:rsidRDefault="006B4860" w:rsidP="00B34E1E">
      <w:pPr>
        <w:pStyle w:val="ListParagraph"/>
        <w:spacing w:before="120" w:after="240" w:line="257" w:lineRule="auto"/>
        <w:ind w:left="0"/>
        <w:contextualSpacing w:val="0"/>
      </w:pPr>
      <w:r>
        <w:rPr>
          <w:b/>
          <w:bCs/>
          <w:noProof/>
        </w:rPr>
        <w:t xml:space="preserve">Female single-person households are more likely to </w:t>
      </w:r>
      <w:r w:rsidR="000A7FCC">
        <w:rPr>
          <w:b/>
          <w:bCs/>
          <w:noProof/>
        </w:rPr>
        <w:t>be comprised of</w:t>
      </w:r>
      <w:r w:rsidR="00D93295">
        <w:rPr>
          <w:b/>
          <w:bCs/>
          <w:noProof/>
        </w:rPr>
        <w:t xml:space="preserve"> a</w:t>
      </w:r>
      <w:r>
        <w:rPr>
          <w:b/>
          <w:bCs/>
          <w:noProof/>
        </w:rPr>
        <w:t xml:space="preserve"> pensioner than </w:t>
      </w:r>
      <w:r w:rsidR="00A34D3A">
        <w:rPr>
          <w:b/>
          <w:bCs/>
          <w:noProof/>
        </w:rPr>
        <w:t>male single-person households</w:t>
      </w:r>
      <w:r w:rsidR="00C765DD">
        <w:rPr>
          <w:noProof/>
        </w:rPr>
        <w:t>.</w:t>
      </w:r>
      <w:r w:rsidR="00650956">
        <w:rPr>
          <w:noProof/>
        </w:rPr>
        <w:t xml:space="preserve"> </w:t>
      </w:r>
      <w:r w:rsidR="000868ED">
        <w:rPr>
          <w:noProof/>
        </w:rPr>
        <w:t xml:space="preserve">Non-earner households, mostly comprised </w:t>
      </w:r>
      <w:r w:rsidR="00FE0B63">
        <w:rPr>
          <w:noProof/>
        </w:rPr>
        <w:t>of</w:t>
      </w:r>
      <w:r w:rsidR="000868ED">
        <w:rPr>
          <w:noProof/>
        </w:rPr>
        <w:t xml:space="preserve"> </w:t>
      </w:r>
      <w:r w:rsidR="0049503E">
        <w:rPr>
          <w:noProof/>
        </w:rPr>
        <w:t xml:space="preserve">an </w:t>
      </w:r>
      <w:r w:rsidR="000868ED">
        <w:rPr>
          <w:noProof/>
        </w:rPr>
        <w:t xml:space="preserve">adult </w:t>
      </w:r>
      <w:r w:rsidR="00F974CF">
        <w:rPr>
          <w:noProof/>
        </w:rPr>
        <w:t>over 60 years of age</w:t>
      </w:r>
      <w:r w:rsidR="000868ED">
        <w:rPr>
          <w:noProof/>
        </w:rPr>
        <w:t xml:space="preserve"> who </w:t>
      </w:r>
      <w:r w:rsidR="000868ED">
        <w:rPr>
          <w:noProof/>
        </w:rPr>
        <w:lastRenderedPageBreak/>
        <w:t>receive</w:t>
      </w:r>
      <w:r w:rsidR="00E50C3F">
        <w:rPr>
          <w:noProof/>
        </w:rPr>
        <w:t>s</w:t>
      </w:r>
      <w:r w:rsidR="000868ED">
        <w:rPr>
          <w:noProof/>
        </w:rPr>
        <w:t xml:space="preserve"> some type of </w:t>
      </w:r>
      <w:r w:rsidR="00BB70D6">
        <w:rPr>
          <w:noProof/>
        </w:rPr>
        <w:t xml:space="preserve">old-age </w:t>
      </w:r>
      <w:r w:rsidR="000868ED">
        <w:rPr>
          <w:noProof/>
        </w:rPr>
        <w:t xml:space="preserve">pension, </w:t>
      </w:r>
      <w:r w:rsidR="002E0B78">
        <w:rPr>
          <w:noProof/>
        </w:rPr>
        <w:t>tend to</w:t>
      </w:r>
      <w:r w:rsidR="00453A0B">
        <w:rPr>
          <w:noProof/>
        </w:rPr>
        <w:t xml:space="preserve"> be </w:t>
      </w:r>
      <w:r w:rsidR="006B6104">
        <w:rPr>
          <w:noProof/>
        </w:rPr>
        <w:t xml:space="preserve">single females </w:t>
      </w:r>
      <w:r w:rsidR="00817F45">
        <w:rPr>
          <w:noProof/>
        </w:rPr>
        <w:t>(</w:t>
      </w:r>
      <w:r w:rsidR="00023FC3">
        <w:rPr>
          <w:noProof/>
        </w:rPr>
        <w:t xml:space="preserve">36 </w:t>
      </w:r>
      <w:r w:rsidR="00817F45">
        <w:rPr>
          <w:noProof/>
        </w:rPr>
        <w:t xml:space="preserve">percent) or </w:t>
      </w:r>
      <w:r w:rsidR="006B6104">
        <w:rPr>
          <w:noProof/>
        </w:rPr>
        <w:t xml:space="preserve">couples </w:t>
      </w:r>
      <w:r w:rsidR="005044EE">
        <w:rPr>
          <w:noProof/>
        </w:rPr>
        <w:t>living</w:t>
      </w:r>
      <w:r w:rsidR="006B6104">
        <w:rPr>
          <w:noProof/>
        </w:rPr>
        <w:t xml:space="preserve"> alone</w:t>
      </w:r>
      <w:r w:rsidR="00817F45">
        <w:rPr>
          <w:noProof/>
        </w:rPr>
        <w:t xml:space="preserve"> (</w:t>
      </w:r>
      <w:r w:rsidR="002A3D62">
        <w:rPr>
          <w:noProof/>
        </w:rPr>
        <w:t xml:space="preserve">35 </w:t>
      </w:r>
      <w:r w:rsidR="00817F45">
        <w:rPr>
          <w:noProof/>
        </w:rPr>
        <w:t>percent)</w:t>
      </w:r>
      <w:r w:rsidR="00B9507E">
        <w:rPr>
          <w:noProof/>
        </w:rPr>
        <w:t xml:space="preserve"> (Annex A, Figure A2)</w:t>
      </w:r>
      <w:r w:rsidR="00817F45">
        <w:rPr>
          <w:noProof/>
        </w:rPr>
        <w:t>.</w:t>
      </w:r>
      <w:r w:rsidR="00924937">
        <w:rPr>
          <w:noProof/>
        </w:rPr>
        <w:t xml:space="preserve"> Only 12 percent of </w:t>
      </w:r>
      <w:r w:rsidR="00CB73F4">
        <w:rPr>
          <w:noProof/>
        </w:rPr>
        <w:t xml:space="preserve">pensioners </w:t>
      </w:r>
      <w:r w:rsidR="00483D67">
        <w:rPr>
          <w:noProof/>
        </w:rPr>
        <w:t>live in</w:t>
      </w:r>
      <w:r w:rsidR="00CB73F4">
        <w:rPr>
          <w:noProof/>
        </w:rPr>
        <w:t xml:space="preserve"> </w:t>
      </w:r>
      <w:r w:rsidR="00483D67">
        <w:rPr>
          <w:noProof/>
        </w:rPr>
        <w:t xml:space="preserve">male </w:t>
      </w:r>
      <w:r w:rsidR="00CB73F4">
        <w:rPr>
          <w:noProof/>
        </w:rPr>
        <w:t>singl</w:t>
      </w:r>
      <w:r w:rsidR="00483D67">
        <w:rPr>
          <w:noProof/>
        </w:rPr>
        <w:t>e-person households</w:t>
      </w:r>
      <w:r w:rsidR="00117F83">
        <w:rPr>
          <w:noProof/>
        </w:rPr>
        <w:t>.</w:t>
      </w:r>
      <w:r w:rsidR="00D429BA">
        <w:rPr>
          <w:noProof/>
        </w:rPr>
        <w:t xml:space="preserve"> Thi</w:t>
      </w:r>
      <w:r w:rsidR="00630AC7">
        <w:rPr>
          <w:noProof/>
        </w:rPr>
        <w:t xml:space="preserve">s pattern </w:t>
      </w:r>
      <w:r w:rsidR="0034106E">
        <w:rPr>
          <w:noProof/>
        </w:rPr>
        <w:t>might</w:t>
      </w:r>
      <w:r w:rsidR="00630AC7">
        <w:rPr>
          <w:noProof/>
        </w:rPr>
        <w:t xml:space="preserve"> be related to the fact that women </w:t>
      </w:r>
      <w:r w:rsidR="0034106E">
        <w:rPr>
          <w:noProof/>
        </w:rPr>
        <w:t>live on average</w:t>
      </w:r>
      <w:r w:rsidR="006C78DE">
        <w:rPr>
          <w:noProof/>
        </w:rPr>
        <w:t xml:space="preserve"> longer</w:t>
      </w:r>
      <w:r w:rsidR="000D4380">
        <w:rPr>
          <w:noProof/>
        </w:rPr>
        <w:t xml:space="preserve"> </w:t>
      </w:r>
      <w:r w:rsidR="000D4380" w:rsidRPr="00597E6F">
        <w:rPr>
          <w:noProof/>
        </w:rPr>
        <w:t xml:space="preserve">than men. In 2019, </w:t>
      </w:r>
      <w:r w:rsidR="006C78DE" w:rsidRPr="00597E6F">
        <w:rPr>
          <w:noProof/>
        </w:rPr>
        <w:t xml:space="preserve">life expectancy for Uruguayan </w:t>
      </w:r>
      <w:r w:rsidR="006C78DE" w:rsidRPr="00597E6F">
        <w:t xml:space="preserve">women was </w:t>
      </w:r>
      <w:r w:rsidR="000403BC" w:rsidRPr="00597E6F">
        <w:t>81</w:t>
      </w:r>
      <w:r w:rsidR="006C78DE" w:rsidRPr="00597E6F">
        <w:t xml:space="preserve"> years, compared to </w:t>
      </w:r>
      <w:r w:rsidR="008D22E9" w:rsidRPr="00597E6F">
        <w:t>74</w:t>
      </w:r>
      <w:r w:rsidR="006C78DE" w:rsidRPr="00597E6F">
        <w:t xml:space="preserve"> years for men</w:t>
      </w:r>
      <w:r w:rsidR="009478F4" w:rsidRPr="00597E6F">
        <w:t xml:space="preserve"> (</w:t>
      </w:r>
      <w:r w:rsidR="00FF2147" w:rsidRPr="00597E6F">
        <w:t>MIDES</w:t>
      </w:r>
      <w:r w:rsidR="009478F4" w:rsidRPr="00597E6F">
        <w:t xml:space="preserve">, </w:t>
      </w:r>
      <w:r w:rsidR="00BE039D" w:rsidRPr="00597E6F">
        <w:t>2022</w:t>
      </w:r>
      <w:r w:rsidR="009478F4" w:rsidRPr="00597E6F">
        <w:t>)</w:t>
      </w:r>
      <w:r w:rsidR="006C78DE" w:rsidRPr="00597E6F">
        <w:t>.</w:t>
      </w:r>
      <w:r w:rsidR="00491712" w:rsidRPr="00597E6F">
        <w:t xml:space="preserve"> </w:t>
      </w:r>
      <w:r w:rsidR="00DB5BDB" w:rsidRPr="00597E6F">
        <w:softHyphen/>
      </w:r>
      <w:r w:rsidR="00AF1EA9" w:rsidRPr="00597E6F">
        <w:t xml:space="preserve">The rest of non-earner households </w:t>
      </w:r>
      <w:r w:rsidR="00F30379" w:rsidRPr="00597E6F">
        <w:t>live in extended households without children</w:t>
      </w:r>
      <w:r w:rsidR="003E4344">
        <w:t xml:space="preserve"> </w:t>
      </w:r>
      <w:r w:rsidR="00744D17">
        <w:t>under 25 years of age</w:t>
      </w:r>
      <w:r w:rsidR="00F30379" w:rsidRPr="00597E6F">
        <w:t>.</w:t>
      </w:r>
    </w:p>
    <w:p w14:paraId="36BE643F" w14:textId="7CE7AAD7" w:rsidR="00555BEA" w:rsidRPr="00555BEA" w:rsidRDefault="00555BEA" w:rsidP="00555BEA">
      <w:pPr>
        <w:pStyle w:val="Caption"/>
        <w:keepNext/>
        <w:jc w:val="center"/>
        <w:rPr>
          <w:sz w:val="22"/>
          <w:szCs w:val="22"/>
        </w:rPr>
      </w:pPr>
      <w:r w:rsidRPr="00555BEA">
        <w:rPr>
          <w:sz w:val="22"/>
          <w:szCs w:val="22"/>
        </w:rPr>
        <w:t xml:space="preserve">Table </w:t>
      </w:r>
      <w:r w:rsidRPr="00555BEA">
        <w:rPr>
          <w:sz w:val="22"/>
          <w:szCs w:val="22"/>
        </w:rPr>
        <w:fldChar w:fldCharType="begin"/>
      </w:r>
      <w:r w:rsidRPr="00555BEA">
        <w:rPr>
          <w:sz w:val="22"/>
          <w:szCs w:val="22"/>
        </w:rPr>
        <w:instrText xml:space="preserve"> SEQ Table \* ARABIC </w:instrText>
      </w:r>
      <w:r w:rsidRPr="00555BEA">
        <w:rPr>
          <w:sz w:val="22"/>
          <w:szCs w:val="22"/>
        </w:rPr>
        <w:fldChar w:fldCharType="separate"/>
      </w:r>
      <w:r w:rsidR="006F0125">
        <w:rPr>
          <w:noProof/>
          <w:sz w:val="22"/>
          <w:szCs w:val="22"/>
        </w:rPr>
        <w:t>1</w:t>
      </w:r>
      <w:r w:rsidRPr="00555BEA">
        <w:rPr>
          <w:sz w:val="22"/>
          <w:szCs w:val="22"/>
        </w:rPr>
        <w:fldChar w:fldCharType="end"/>
      </w:r>
      <w:r w:rsidRPr="00555BEA">
        <w:rPr>
          <w:sz w:val="22"/>
          <w:szCs w:val="22"/>
        </w:rPr>
        <w:t>. Distribution of Households by Demographic and Economic Typology</w:t>
      </w:r>
    </w:p>
    <w:tbl>
      <w:tblPr>
        <w:tblW w:w="11364" w:type="dxa"/>
        <w:jc w:val="center"/>
        <w:tblLook w:val="04A0" w:firstRow="1" w:lastRow="0" w:firstColumn="1" w:lastColumn="0" w:noHBand="0" w:noVBand="1"/>
      </w:tblPr>
      <w:tblGrid>
        <w:gridCol w:w="565"/>
        <w:gridCol w:w="3039"/>
        <w:gridCol w:w="258"/>
        <w:gridCol w:w="735"/>
        <w:gridCol w:w="817"/>
        <w:gridCol w:w="258"/>
        <w:gridCol w:w="763"/>
        <w:gridCol w:w="258"/>
        <w:gridCol w:w="763"/>
        <w:gridCol w:w="258"/>
        <w:gridCol w:w="1007"/>
        <w:gridCol w:w="1007"/>
        <w:gridCol w:w="766"/>
        <w:gridCol w:w="6"/>
        <w:gridCol w:w="252"/>
        <w:gridCol w:w="6"/>
        <w:gridCol w:w="600"/>
        <w:gridCol w:w="6"/>
      </w:tblGrid>
      <w:tr w:rsidR="008C198E" w:rsidRPr="006743D6" w14:paraId="602A8BF6" w14:textId="77777777" w:rsidTr="00A80414">
        <w:trPr>
          <w:trHeight w:val="255"/>
          <w:jc w:val="center"/>
        </w:trPr>
        <w:tc>
          <w:tcPr>
            <w:tcW w:w="565" w:type="dxa"/>
            <w:tcBorders>
              <w:top w:val="nil"/>
              <w:left w:val="nil"/>
              <w:bottom w:val="nil"/>
              <w:right w:val="nil"/>
            </w:tcBorders>
            <w:noWrap/>
            <w:vAlign w:val="bottom"/>
            <w:hideMark/>
          </w:tcPr>
          <w:p w14:paraId="315CC8B5" w14:textId="77777777" w:rsidR="009A3FE8" w:rsidRPr="009A3FE8" w:rsidRDefault="009A3FE8" w:rsidP="009A3FE8">
            <w:pPr>
              <w:spacing w:after="0" w:line="240" w:lineRule="auto"/>
              <w:rPr>
                <w:rFonts w:ascii="Times New Roman" w:eastAsia="Times New Roman" w:hAnsi="Times New Roman" w:cs="Times New Roman"/>
                <w:sz w:val="17"/>
                <w:szCs w:val="17"/>
              </w:rPr>
            </w:pPr>
          </w:p>
        </w:tc>
        <w:tc>
          <w:tcPr>
            <w:tcW w:w="3039" w:type="dxa"/>
            <w:tcBorders>
              <w:top w:val="nil"/>
              <w:left w:val="nil"/>
              <w:bottom w:val="nil"/>
              <w:right w:val="nil"/>
            </w:tcBorders>
            <w:noWrap/>
            <w:vAlign w:val="center"/>
            <w:hideMark/>
          </w:tcPr>
          <w:p w14:paraId="4F8C9D65" w14:textId="77777777" w:rsidR="009A3FE8" w:rsidRPr="009A3FE8" w:rsidRDefault="009A3FE8" w:rsidP="009A3FE8">
            <w:pPr>
              <w:spacing w:after="0" w:line="240" w:lineRule="auto"/>
              <w:rPr>
                <w:rFonts w:ascii="Times New Roman" w:eastAsia="Times New Roman" w:hAnsi="Times New Roman" w:cs="Times New Roman"/>
                <w:sz w:val="17"/>
                <w:szCs w:val="17"/>
              </w:rPr>
            </w:pPr>
          </w:p>
        </w:tc>
        <w:tc>
          <w:tcPr>
            <w:tcW w:w="258" w:type="dxa"/>
            <w:tcBorders>
              <w:top w:val="nil"/>
              <w:left w:val="nil"/>
              <w:bottom w:val="nil"/>
              <w:right w:val="nil"/>
            </w:tcBorders>
            <w:noWrap/>
            <w:vAlign w:val="center"/>
            <w:hideMark/>
          </w:tcPr>
          <w:p w14:paraId="607F1D22" w14:textId="77777777" w:rsidR="009A3FE8" w:rsidRPr="009A3FE8" w:rsidRDefault="009A3FE8" w:rsidP="009A3FE8">
            <w:pPr>
              <w:spacing w:after="0" w:line="240" w:lineRule="auto"/>
              <w:jc w:val="center"/>
              <w:rPr>
                <w:rFonts w:ascii="Times New Roman" w:eastAsia="Times New Roman" w:hAnsi="Times New Roman" w:cs="Times New Roman"/>
                <w:sz w:val="17"/>
                <w:szCs w:val="17"/>
              </w:rPr>
            </w:pPr>
          </w:p>
        </w:tc>
        <w:tc>
          <w:tcPr>
            <w:tcW w:w="6638" w:type="dxa"/>
            <w:gridSpan w:val="11"/>
            <w:tcBorders>
              <w:top w:val="nil"/>
              <w:left w:val="nil"/>
              <w:bottom w:val="nil"/>
              <w:right w:val="nil"/>
            </w:tcBorders>
            <w:shd w:val="clear" w:color="000000" w:fill="DBDBDB"/>
            <w:noWrap/>
            <w:vAlign w:val="center"/>
            <w:hideMark/>
          </w:tcPr>
          <w:p w14:paraId="078D7B58" w14:textId="77777777" w:rsidR="009A3FE8" w:rsidRPr="009A3FE8" w:rsidRDefault="009A3FE8" w:rsidP="009A3FE8">
            <w:pPr>
              <w:spacing w:after="0" w:line="240" w:lineRule="auto"/>
              <w:jc w:val="center"/>
              <w:rPr>
                <w:rFonts w:ascii="Calibri" w:eastAsia="Times New Roman" w:hAnsi="Calibri" w:cs="Calibri"/>
                <w:b/>
                <w:bCs/>
                <w:color w:val="000000"/>
                <w:sz w:val="17"/>
                <w:szCs w:val="17"/>
              </w:rPr>
            </w:pPr>
            <w:r w:rsidRPr="009A3FE8">
              <w:rPr>
                <w:rFonts w:ascii="Calibri" w:eastAsia="Times New Roman" w:hAnsi="Calibri" w:cs="Calibri"/>
                <w:b/>
                <w:bCs/>
                <w:color w:val="000000"/>
                <w:sz w:val="17"/>
                <w:szCs w:val="17"/>
              </w:rPr>
              <w:t>Economic typology</w:t>
            </w:r>
          </w:p>
        </w:tc>
        <w:tc>
          <w:tcPr>
            <w:tcW w:w="258" w:type="dxa"/>
            <w:gridSpan w:val="2"/>
            <w:tcBorders>
              <w:top w:val="nil"/>
              <w:left w:val="nil"/>
              <w:bottom w:val="nil"/>
              <w:right w:val="nil"/>
            </w:tcBorders>
            <w:noWrap/>
            <w:vAlign w:val="center"/>
            <w:hideMark/>
          </w:tcPr>
          <w:p w14:paraId="59C19836" w14:textId="77777777" w:rsidR="009A3FE8" w:rsidRPr="009A3FE8" w:rsidRDefault="009A3FE8" w:rsidP="009A3FE8">
            <w:pPr>
              <w:spacing w:after="0" w:line="240" w:lineRule="auto"/>
              <w:jc w:val="center"/>
              <w:rPr>
                <w:rFonts w:ascii="Calibri" w:eastAsia="Times New Roman" w:hAnsi="Calibri" w:cs="Calibri"/>
                <w:b/>
                <w:bCs/>
                <w:color w:val="000000"/>
                <w:sz w:val="17"/>
                <w:szCs w:val="17"/>
              </w:rPr>
            </w:pPr>
          </w:p>
        </w:tc>
        <w:tc>
          <w:tcPr>
            <w:tcW w:w="606" w:type="dxa"/>
            <w:gridSpan w:val="2"/>
            <w:tcBorders>
              <w:top w:val="nil"/>
              <w:left w:val="nil"/>
              <w:bottom w:val="nil"/>
              <w:right w:val="nil"/>
            </w:tcBorders>
            <w:noWrap/>
            <w:vAlign w:val="center"/>
            <w:hideMark/>
          </w:tcPr>
          <w:p w14:paraId="72F94720" w14:textId="77777777" w:rsidR="009A3FE8" w:rsidRPr="009A3FE8" w:rsidRDefault="009A3FE8" w:rsidP="009A3FE8">
            <w:pPr>
              <w:spacing w:after="0" w:line="240" w:lineRule="auto"/>
              <w:jc w:val="center"/>
              <w:rPr>
                <w:rFonts w:ascii="Times New Roman" w:eastAsia="Times New Roman" w:hAnsi="Times New Roman" w:cs="Times New Roman"/>
                <w:sz w:val="17"/>
                <w:szCs w:val="17"/>
              </w:rPr>
            </w:pPr>
          </w:p>
        </w:tc>
      </w:tr>
      <w:tr w:rsidR="006743D6" w:rsidRPr="006743D6" w14:paraId="3F7AC7D0" w14:textId="77777777" w:rsidTr="00A80414">
        <w:trPr>
          <w:gridAfter w:val="1"/>
          <w:wAfter w:w="6" w:type="dxa"/>
          <w:trHeight w:val="255"/>
          <w:jc w:val="center"/>
        </w:trPr>
        <w:tc>
          <w:tcPr>
            <w:tcW w:w="565" w:type="dxa"/>
            <w:tcBorders>
              <w:top w:val="nil"/>
              <w:left w:val="nil"/>
              <w:bottom w:val="nil"/>
              <w:right w:val="nil"/>
            </w:tcBorders>
            <w:noWrap/>
            <w:vAlign w:val="bottom"/>
            <w:hideMark/>
          </w:tcPr>
          <w:p w14:paraId="5B484797" w14:textId="77777777" w:rsidR="009A3FE8" w:rsidRPr="009A3FE8" w:rsidRDefault="009A3FE8" w:rsidP="009A3FE8">
            <w:pPr>
              <w:spacing w:after="0" w:line="240" w:lineRule="auto"/>
              <w:jc w:val="center"/>
              <w:rPr>
                <w:rFonts w:ascii="Times New Roman" w:eastAsia="Times New Roman" w:hAnsi="Times New Roman" w:cs="Times New Roman"/>
                <w:sz w:val="17"/>
                <w:szCs w:val="17"/>
              </w:rPr>
            </w:pPr>
          </w:p>
        </w:tc>
        <w:tc>
          <w:tcPr>
            <w:tcW w:w="3039" w:type="dxa"/>
            <w:tcBorders>
              <w:top w:val="nil"/>
              <w:left w:val="nil"/>
              <w:bottom w:val="nil"/>
              <w:right w:val="nil"/>
            </w:tcBorders>
            <w:noWrap/>
            <w:vAlign w:val="bottom"/>
            <w:hideMark/>
          </w:tcPr>
          <w:p w14:paraId="7EEF42EB" w14:textId="77777777" w:rsidR="009A3FE8" w:rsidRPr="009A3FE8" w:rsidRDefault="009A3FE8" w:rsidP="009A3FE8">
            <w:pPr>
              <w:spacing w:after="0" w:line="240" w:lineRule="auto"/>
              <w:rPr>
                <w:rFonts w:ascii="Times New Roman" w:eastAsia="Times New Roman" w:hAnsi="Times New Roman" w:cs="Times New Roman"/>
                <w:sz w:val="17"/>
                <w:szCs w:val="17"/>
              </w:rPr>
            </w:pPr>
          </w:p>
        </w:tc>
        <w:tc>
          <w:tcPr>
            <w:tcW w:w="258" w:type="dxa"/>
            <w:tcBorders>
              <w:top w:val="nil"/>
              <w:left w:val="nil"/>
              <w:bottom w:val="nil"/>
              <w:right w:val="nil"/>
            </w:tcBorders>
            <w:noWrap/>
            <w:vAlign w:val="bottom"/>
            <w:hideMark/>
          </w:tcPr>
          <w:p w14:paraId="3BE7341F" w14:textId="77777777" w:rsidR="009A3FE8" w:rsidRPr="009A3FE8" w:rsidRDefault="009A3FE8" w:rsidP="009A3FE8">
            <w:pPr>
              <w:spacing w:after="0" w:line="240" w:lineRule="auto"/>
              <w:rPr>
                <w:rFonts w:ascii="Times New Roman" w:eastAsia="Times New Roman" w:hAnsi="Times New Roman" w:cs="Times New Roman"/>
                <w:sz w:val="17"/>
                <w:szCs w:val="17"/>
              </w:rPr>
            </w:pPr>
          </w:p>
        </w:tc>
        <w:tc>
          <w:tcPr>
            <w:tcW w:w="1552" w:type="dxa"/>
            <w:gridSpan w:val="2"/>
            <w:tcBorders>
              <w:top w:val="nil"/>
              <w:left w:val="nil"/>
              <w:bottom w:val="single" w:sz="4" w:space="0" w:color="auto"/>
              <w:right w:val="nil"/>
            </w:tcBorders>
            <w:vAlign w:val="center"/>
            <w:hideMark/>
          </w:tcPr>
          <w:p w14:paraId="2FC761C1" w14:textId="77777777" w:rsidR="009A3FE8" w:rsidRPr="009A3FE8" w:rsidRDefault="009A3FE8" w:rsidP="00F462AC">
            <w:pPr>
              <w:spacing w:after="0" w:line="240" w:lineRule="auto"/>
              <w:jc w:val="center"/>
              <w:rPr>
                <w:rFonts w:ascii="Calibri" w:eastAsia="Times New Roman" w:hAnsi="Calibri" w:cs="Calibri"/>
                <w:b/>
                <w:bCs/>
                <w:color w:val="000000"/>
                <w:sz w:val="17"/>
                <w:szCs w:val="17"/>
              </w:rPr>
            </w:pPr>
            <w:r w:rsidRPr="009A3FE8">
              <w:rPr>
                <w:rFonts w:ascii="Calibri" w:eastAsia="Times New Roman" w:hAnsi="Calibri" w:cs="Calibri"/>
                <w:b/>
                <w:bCs/>
                <w:color w:val="000000"/>
                <w:sz w:val="17"/>
                <w:szCs w:val="17"/>
              </w:rPr>
              <w:t>No earners</w:t>
            </w:r>
          </w:p>
        </w:tc>
        <w:tc>
          <w:tcPr>
            <w:tcW w:w="258" w:type="dxa"/>
            <w:tcBorders>
              <w:top w:val="nil"/>
              <w:left w:val="nil"/>
              <w:bottom w:val="nil"/>
              <w:right w:val="nil"/>
            </w:tcBorders>
            <w:vAlign w:val="center"/>
            <w:hideMark/>
          </w:tcPr>
          <w:p w14:paraId="0EFDF073" w14:textId="77777777" w:rsidR="009A3FE8" w:rsidRPr="009A3FE8" w:rsidRDefault="009A3FE8" w:rsidP="00F462AC">
            <w:pPr>
              <w:spacing w:after="0" w:line="240" w:lineRule="auto"/>
              <w:jc w:val="center"/>
              <w:rPr>
                <w:rFonts w:ascii="Calibri" w:eastAsia="Times New Roman" w:hAnsi="Calibri" w:cs="Calibri"/>
                <w:b/>
                <w:bCs/>
                <w:color w:val="000000"/>
                <w:sz w:val="17"/>
                <w:szCs w:val="17"/>
              </w:rPr>
            </w:pPr>
          </w:p>
        </w:tc>
        <w:tc>
          <w:tcPr>
            <w:tcW w:w="763" w:type="dxa"/>
            <w:vMerge w:val="restart"/>
            <w:tcBorders>
              <w:top w:val="nil"/>
              <w:left w:val="nil"/>
              <w:bottom w:val="nil"/>
              <w:right w:val="nil"/>
            </w:tcBorders>
            <w:vAlign w:val="center"/>
            <w:hideMark/>
          </w:tcPr>
          <w:p w14:paraId="3EFE1C42" w14:textId="77777777" w:rsidR="009A3FE8" w:rsidRPr="009A3FE8" w:rsidRDefault="009A3FE8" w:rsidP="00F462AC">
            <w:pPr>
              <w:spacing w:after="0" w:line="240" w:lineRule="auto"/>
              <w:jc w:val="center"/>
              <w:rPr>
                <w:rFonts w:ascii="Calibri" w:eastAsia="Times New Roman" w:hAnsi="Calibri" w:cs="Calibri"/>
                <w:b/>
                <w:bCs/>
                <w:color w:val="000000"/>
                <w:sz w:val="17"/>
                <w:szCs w:val="17"/>
              </w:rPr>
            </w:pPr>
            <w:r w:rsidRPr="009A3FE8">
              <w:rPr>
                <w:rFonts w:ascii="Calibri" w:eastAsia="Times New Roman" w:hAnsi="Calibri" w:cs="Calibri"/>
                <w:b/>
                <w:bCs/>
                <w:color w:val="000000"/>
                <w:sz w:val="17"/>
                <w:szCs w:val="17"/>
              </w:rPr>
              <w:t>Only female earners</w:t>
            </w:r>
          </w:p>
        </w:tc>
        <w:tc>
          <w:tcPr>
            <w:tcW w:w="258" w:type="dxa"/>
            <w:tcBorders>
              <w:top w:val="nil"/>
              <w:left w:val="nil"/>
              <w:bottom w:val="nil"/>
              <w:right w:val="nil"/>
            </w:tcBorders>
            <w:vAlign w:val="center"/>
            <w:hideMark/>
          </w:tcPr>
          <w:p w14:paraId="358ED776" w14:textId="77777777" w:rsidR="009A3FE8" w:rsidRPr="009A3FE8" w:rsidRDefault="009A3FE8" w:rsidP="00F462AC">
            <w:pPr>
              <w:spacing w:after="0" w:line="240" w:lineRule="auto"/>
              <w:jc w:val="center"/>
              <w:rPr>
                <w:rFonts w:ascii="Calibri" w:eastAsia="Times New Roman" w:hAnsi="Calibri" w:cs="Calibri"/>
                <w:b/>
                <w:bCs/>
                <w:color w:val="000000"/>
                <w:sz w:val="17"/>
                <w:szCs w:val="17"/>
              </w:rPr>
            </w:pPr>
          </w:p>
        </w:tc>
        <w:tc>
          <w:tcPr>
            <w:tcW w:w="763" w:type="dxa"/>
            <w:vMerge w:val="restart"/>
            <w:tcBorders>
              <w:top w:val="nil"/>
              <w:left w:val="nil"/>
              <w:bottom w:val="nil"/>
              <w:right w:val="nil"/>
            </w:tcBorders>
            <w:vAlign w:val="center"/>
            <w:hideMark/>
          </w:tcPr>
          <w:p w14:paraId="43EC8848" w14:textId="77777777" w:rsidR="009A3FE8" w:rsidRPr="009A3FE8" w:rsidRDefault="009A3FE8" w:rsidP="00F462AC">
            <w:pPr>
              <w:spacing w:after="0" w:line="240" w:lineRule="auto"/>
              <w:jc w:val="center"/>
              <w:rPr>
                <w:rFonts w:ascii="Calibri" w:eastAsia="Times New Roman" w:hAnsi="Calibri" w:cs="Calibri"/>
                <w:b/>
                <w:bCs/>
                <w:color w:val="000000"/>
                <w:sz w:val="17"/>
                <w:szCs w:val="17"/>
              </w:rPr>
            </w:pPr>
            <w:r w:rsidRPr="009A3FE8">
              <w:rPr>
                <w:rFonts w:ascii="Calibri" w:eastAsia="Times New Roman" w:hAnsi="Calibri" w:cs="Calibri"/>
                <w:b/>
                <w:bCs/>
                <w:color w:val="000000"/>
                <w:sz w:val="17"/>
                <w:szCs w:val="17"/>
              </w:rPr>
              <w:t>Only male earners</w:t>
            </w:r>
          </w:p>
        </w:tc>
        <w:tc>
          <w:tcPr>
            <w:tcW w:w="258" w:type="dxa"/>
            <w:tcBorders>
              <w:top w:val="nil"/>
              <w:left w:val="nil"/>
              <w:bottom w:val="nil"/>
              <w:right w:val="nil"/>
            </w:tcBorders>
            <w:vAlign w:val="center"/>
            <w:hideMark/>
          </w:tcPr>
          <w:p w14:paraId="643517C2" w14:textId="77777777" w:rsidR="009A3FE8" w:rsidRPr="009A3FE8" w:rsidRDefault="009A3FE8" w:rsidP="00F462AC">
            <w:pPr>
              <w:spacing w:after="0" w:line="240" w:lineRule="auto"/>
              <w:jc w:val="center"/>
              <w:rPr>
                <w:rFonts w:ascii="Calibri" w:eastAsia="Times New Roman" w:hAnsi="Calibri" w:cs="Calibri"/>
                <w:b/>
                <w:bCs/>
                <w:color w:val="000000"/>
                <w:sz w:val="17"/>
                <w:szCs w:val="17"/>
              </w:rPr>
            </w:pPr>
          </w:p>
        </w:tc>
        <w:tc>
          <w:tcPr>
            <w:tcW w:w="2780" w:type="dxa"/>
            <w:gridSpan w:val="3"/>
            <w:tcBorders>
              <w:top w:val="nil"/>
              <w:left w:val="nil"/>
              <w:bottom w:val="single" w:sz="4" w:space="0" w:color="auto"/>
              <w:right w:val="nil"/>
            </w:tcBorders>
            <w:noWrap/>
            <w:vAlign w:val="center"/>
            <w:hideMark/>
          </w:tcPr>
          <w:p w14:paraId="63DD5301" w14:textId="77777777" w:rsidR="009A3FE8" w:rsidRPr="009A3FE8" w:rsidRDefault="009A3FE8" w:rsidP="00F462AC">
            <w:pPr>
              <w:spacing w:after="0" w:line="240" w:lineRule="auto"/>
              <w:jc w:val="center"/>
              <w:rPr>
                <w:rFonts w:ascii="Calibri" w:eastAsia="Times New Roman" w:hAnsi="Calibri" w:cs="Calibri"/>
                <w:b/>
                <w:bCs/>
                <w:color w:val="000000"/>
                <w:sz w:val="17"/>
                <w:szCs w:val="17"/>
              </w:rPr>
            </w:pPr>
            <w:r w:rsidRPr="009A3FE8">
              <w:rPr>
                <w:rFonts w:ascii="Calibri" w:eastAsia="Times New Roman" w:hAnsi="Calibri" w:cs="Calibri"/>
                <w:b/>
                <w:bCs/>
                <w:color w:val="000000"/>
                <w:sz w:val="17"/>
                <w:szCs w:val="17"/>
              </w:rPr>
              <w:t>Dual earners</w:t>
            </w:r>
          </w:p>
        </w:tc>
        <w:tc>
          <w:tcPr>
            <w:tcW w:w="258" w:type="dxa"/>
            <w:gridSpan w:val="2"/>
            <w:tcBorders>
              <w:top w:val="nil"/>
              <w:left w:val="nil"/>
              <w:bottom w:val="nil"/>
              <w:right w:val="nil"/>
            </w:tcBorders>
            <w:noWrap/>
            <w:vAlign w:val="center"/>
            <w:hideMark/>
          </w:tcPr>
          <w:p w14:paraId="3CC62BEC" w14:textId="77777777" w:rsidR="009A3FE8" w:rsidRPr="009A3FE8" w:rsidRDefault="009A3FE8" w:rsidP="00F462AC">
            <w:pPr>
              <w:spacing w:after="0" w:line="240" w:lineRule="auto"/>
              <w:jc w:val="center"/>
              <w:rPr>
                <w:rFonts w:ascii="Calibri" w:eastAsia="Times New Roman" w:hAnsi="Calibri" w:cs="Calibri"/>
                <w:b/>
                <w:bCs/>
                <w:color w:val="000000"/>
                <w:sz w:val="17"/>
                <w:szCs w:val="17"/>
              </w:rPr>
            </w:pPr>
          </w:p>
        </w:tc>
        <w:tc>
          <w:tcPr>
            <w:tcW w:w="606" w:type="dxa"/>
            <w:gridSpan w:val="2"/>
            <w:vMerge w:val="restart"/>
            <w:tcBorders>
              <w:top w:val="nil"/>
              <w:left w:val="nil"/>
              <w:bottom w:val="nil"/>
              <w:right w:val="nil"/>
            </w:tcBorders>
            <w:vAlign w:val="center"/>
            <w:hideMark/>
          </w:tcPr>
          <w:p w14:paraId="198FDF6B" w14:textId="77777777" w:rsidR="009A3FE8" w:rsidRPr="009A3FE8" w:rsidRDefault="009A3FE8" w:rsidP="00F462AC">
            <w:pPr>
              <w:spacing w:after="0" w:line="240" w:lineRule="auto"/>
              <w:jc w:val="center"/>
              <w:rPr>
                <w:rFonts w:ascii="Calibri" w:eastAsia="Times New Roman" w:hAnsi="Calibri" w:cs="Calibri"/>
                <w:b/>
                <w:bCs/>
                <w:color w:val="000000"/>
                <w:sz w:val="17"/>
                <w:szCs w:val="17"/>
              </w:rPr>
            </w:pPr>
            <w:r w:rsidRPr="009A3FE8">
              <w:rPr>
                <w:rFonts w:ascii="Calibri" w:eastAsia="Times New Roman" w:hAnsi="Calibri" w:cs="Calibri"/>
                <w:b/>
                <w:bCs/>
                <w:color w:val="000000"/>
                <w:sz w:val="17"/>
                <w:szCs w:val="17"/>
              </w:rPr>
              <w:t>Total</w:t>
            </w:r>
          </w:p>
        </w:tc>
      </w:tr>
      <w:tr w:rsidR="006743D6" w:rsidRPr="006743D6" w14:paraId="3F47993D" w14:textId="77777777" w:rsidTr="00A80414">
        <w:trPr>
          <w:gridAfter w:val="1"/>
          <w:wAfter w:w="6" w:type="dxa"/>
          <w:trHeight w:val="609"/>
          <w:jc w:val="center"/>
        </w:trPr>
        <w:tc>
          <w:tcPr>
            <w:tcW w:w="565" w:type="dxa"/>
            <w:tcBorders>
              <w:top w:val="nil"/>
              <w:left w:val="nil"/>
              <w:bottom w:val="nil"/>
              <w:right w:val="nil"/>
            </w:tcBorders>
            <w:vAlign w:val="bottom"/>
            <w:hideMark/>
          </w:tcPr>
          <w:p w14:paraId="64505C63" w14:textId="77777777" w:rsidR="009A3FE8" w:rsidRPr="009A3FE8" w:rsidRDefault="009A3FE8" w:rsidP="009A3FE8">
            <w:pPr>
              <w:spacing w:after="0" w:line="240" w:lineRule="auto"/>
              <w:jc w:val="center"/>
              <w:rPr>
                <w:rFonts w:ascii="Calibri" w:eastAsia="Times New Roman" w:hAnsi="Calibri" w:cs="Calibri"/>
                <w:b/>
                <w:bCs/>
                <w:color w:val="000000"/>
                <w:sz w:val="17"/>
                <w:szCs w:val="17"/>
              </w:rPr>
            </w:pPr>
          </w:p>
        </w:tc>
        <w:tc>
          <w:tcPr>
            <w:tcW w:w="3039" w:type="dxa"/>
            <w:tcBorders>
              <w:top w:val="nil"/>
              <w:left w:val="nil"/>
              <w:bottom w:val="nil"/>
              <w:right w:val="nil"/>
            </w:tcBorders>
            <w:vAlign w:val="bottom"/>
            <w:hideMark/>
          </w:tcPr>
          <w:p w14:paraId="79F53C65" w14:textId="77777777" w:rsidR="009A3FE8" w:rsidRPr="009A3FE8" w:rsidRDefault="009A3FE8" w:rsidP="009A3FE8">
            <w:pPr>
              <w:spacing w:after="0" w:line="240" w:lineRule="auto"/>
              <w:jc w:val="center"/>
              <w:rPr>
                <w:rFonts w:ascii="Times New Roman" w:eastAsia="Times New Roman" w:hAnsi="Times New Roman" w:cs="Times New Roman"/>
                <w:sz w:val="17"/>
                <w:szCs w:val="17"/>
              </w:rPr>
            </w:pPr>
          </w:p>
        </w:tc>
        <w:tc>
          <w:tcPr>
            <w:tcW w:w="258" w:type="dxa"/>
            <w:tcBorders>
              <w:top w:val="nil"/>
              <w:left w:val="nil"/>
              <w:bottom w:val="nil"/>
              <w:right w:val="nil"/>
            </w:tcBorders>
            <w:vAlign w:val="bottom"/>
            <w:hideMark/>
          </w:tcPr>
          <w:p w14:paraId="501AE740" w14:textId="77777777" w:rsidR="009A3FE8" w:rsidRPr="009A3FE8" w:rsidRDefault="009A3FE8" w:rsidP="009A3FE8">
            <w:pPr>
              <w:spacing w:after="0" w:line="240" w:lineRule="auto"/>
              <w:jc w:val="center"/>
              <w:rPr>
                <w:rFonts w:ascii="Times New Roman" w:eastAsia="Times New Roman" w:hAnsi="Times New Roman" w:cs="Times New Roman"/>
                <w:sz w:val="17"/>
                <w:szCs w:val="17"/>
              </w:rPr>
            </w:pPr>
          </w:p>
        </w:tc>
        <w:tc>
          <w:tcPr>
            <w:tcW w:w="735" w:type="dxa"/>
            <w:tcBorders>
              <w:top w:val="nil"/>
              <w:left w:val="nil"/>
              <w:bottom w:val="nil"/>
              <w:right w:val="nil"/>
            </w:tcBorders>
            <w:vAlign w:val="center"/>
            <w:hideMark/>
          </w:tcPr>
          <w:p w14:paraId="33266621" w14:textId="77777777" w:rsidR="009A3FE8" w:rsidRPr="009A3FE8" w:rsidRDefault="009A3FE8" w:rsidP="00F462AC">
            <w:pPr>
              <w:spacing w:after="0" w:line="240" w:lineRule="auto"/>
              <w:jc w:val="center"/>
              <w:rPr>
                <w:rFonts w:ascii="Calibri" w:eastAsia="Times New Roman" w:hAnsi="Calibri" w:cs="Calibri"/>
                <w:b/>
                <w:bCs/>
                <w:color w:val="000000"/>
                <w:sz w:val="17"/>
                <w:szCs w:val="17"/>
              </w:rPr>
            </w:pPr>
            <w:r w:rsidRPr="009A3FE8">
              <w:rPr>
                <w:rFonts w:ascii="Calibri" w:eastAsia="Times New Roman" w:hAnsi="Calibri" w:cs="Calibri"/>
                <w:b/>
                <w:bCs/>
                <w:color w:val="000000"/>
                <w:sz w:val="17"/>
                <w:szCs w:val="17"/>
              </w:rPr>
              <w:t>With seniors</w:t>
            </w:r>
          </w:p>
        </w:tc>
        <w:tc>
          <w:tcPr>
            <w:tcW w:w="817" w:type="dxa"/>
            <w:tcBorders>
              <w:top w:val="nil"/>
              <w:left w:val="nil"/>
              <w:bottom w:val="nil"/>
              <w:right w:val="nil"/>
            </w:tcBorders>
            <w:vAlign w:val="center"/>
            <w:hideMark/>
          </w:tcPr>
          <w:p w14:paraId="6328DEB2" w14:textId="77777777" w:rsidR="009A3FE8" w:rsidRPr="009A3FE8" w:rsidRDefault="009A3FE8" w:rsidP="00F462AC">
            <w:pPr>
              <w:spacing w:after="0" w:line="240" w:lineRule="auto"/>
              <w:jc w:val="center"/>
              <w:rPr>
                <w:rFonts w:ascii="Calibri" w:eastAsia="Times New Roman" w:hAnsi="Calibri" w:cs="Calibri"/>
                <w:b/>
                <w:bCs/>
                <w:color w:val="000000"/>
                <w:sz w:val="17"/>
                <w:szCs w:val="17"/>
              </w:rPr>
            </w:pPr>
            <w:r w:rsidRPr="009A3FE8">
              <w:rPr>
                <w:rFonts w:ascii="Calibri" w:eastAsia="Times New Roman" w:hAnsi="Calibri" w:cs="Calibri"/>
                <w:b/>
                <w:bCs/>
                <w:color w:val="000000"/>
                <w:sz w:val="17"/>
                <w:szCs w:val="17"/>
              </w:rPr>
              <w:t>Without seniors</w:t>
            </w:r>
          </w:p>
        </w:tc>
        <w:tc>
          <w:tcPr>
            <w:tcW w:w="258" w:type="dxa"/>
            <w:tcBorders>
              <w:top w:val="nil"/>
              <w:left w:val="nil"/>
              <w:bottom w:val="nil"/>
              <w:right w:val="nil"/>
            </w:tcBorders>
            <w:vAlign w:val="center"/>
            <w:hideMark/>
          </w:tcPr>
          <w:p w14:paraId="31F44348" w14:textId="77777777" w:rsidR="009A3FE8" w:rsidRPr="009A3FE8" w:rsidRDefault="009A3FE8" w:rsidP="00F462AC">
            <w:pPr>
              <w:spacing w:after="0" w:line="240" w:lineRule="auto"/>
              <w:jc w:val="center"/>
              <w:rPr>
                <w:rFonts w:ascii="Calibri" w:eastAsia="Times New Roman" w:hAnsi="Calibri" w:cs="Calibri"/>
                <w:b/>
                <w:bCs/>
                <w:color w:val="000000"/>
                <w:sz w:val="17"/>
                <w:szCs w:val="17"/>
              </w:rPr>
            </w:pPr>
          </w:p>
        </w:tc>
        <w:tc>
          <w:tcPr>
            <w:tcW w:w="763" w:type="dxa"/>
            <w:vMerge/>
            <w:tcBorders>
              <w:top w:val="nil"/>
              <w:left w:val="nil"/>
              <w:bottom w:val="nil"/>
              <w:right w:val="nil"/>
            </w:tcBorders>
            <w:vAlign w:val="center"/>
            <w:hideMark/>
          </w:tcPr>
          <w:p w14:paraId="02C5FB39" w14:textId="77777777" w:rsidR="009A3FE8" w:rsidRPr="009A3FE8" w:rsidRDefault="009A3FE8" w:rsidP="00F462AC">
            <w:pPr>
              <w:spacing w:after="0" w:line="240" w:lineRule="auto"/>
              <w:jc w:val="center"/>
              <w:rPr>
                <w:rFonts w:ascii="Calibri" w:eastAsia="Times New Roman" w:hAnsi="Calibri" w:cs="Calibri"/>
                <w:b/>
                <w:bCs/>
                <w:color w:val="000000"/>
                <w:sz w:val="17"/>
                <w:szCs w:val="17"/>
              </w:rPr>
            </w:pPr>
          </w:p>
        </w:tc>
        <w:tc>
          <w:tcPr>
            <w:tcW w:w="258" w:type="dxa"/>
            <w:tcBorders>
              <w:top w:val="nil"/>
              <w:left w:val="nil"/>
              <w:bottom w:val="nil"/>
              <w:right w:val="nil"/>
            </w:tcBorders>
            <w:vAlign w:val="center"/>
            <w:hideMark/>
          </w:tcPr>
          <w:p w14:paraId="004379ED" w14:textId="77777777" w:rsidR="009A3FE8" w:rsidRPr="009A3FE8" w:rsidRDefault="009A3FE8" w:rsidP="00F462AC">
            <w:pPr>
              <w:spacing w:after="0" w:line="240" w:lineRule="auto"/>
              <w:jc w:val="center"/>
              <w:rPr>
                <w:rFonts w:ascii="Times New Roman" w:eastAsia="Times New Roman" w:hAnsi="Times New Roman" w:cs="Times New Roman"/>
                <w:sz w:val="17"/>
                <w:szCs w:val="17"/>
              </w:rPr>
            </w:pPr>
          </w:p>
        </w:tc>
        <w:tc>
          <w:tcPr>
            <w:tcW w:w="763" w:type="dxa"/>
            <w:vMerge/>
            <w:tcBorders>
              <w:top w:val="nil"/>
              <w:left w:val="nil"/>
              <w:bottom w:val="nil"/>
              <w:right w:val="nil"/>
            </w:tcBorders>
            <w:vAlign w:val="center"/>
            <w:hideMark/>
          </w:tcPr>
          <w:p w14:paraId="37A91FC4" w14:textId="77777777" w:rsidR="009A3FE8" w:rsidRPr="009A3FE8" w:rsidRDefault="009A3FE8" w:rsidP="00F462AC">
            <w:pPr>
              <w:spacing w:after="0" w:line="240" w:lineRule="auto"/>
              <w:jc w:val="center"/>
              <w:rPr>
                <w:rFonts w:ascii="Calibri" w:eastAsia="Times New Roman" w:hAnsi="Calibri" w:cs="Calibri"/>
                <w:b/>
                <w:bCs/>
                <w:color w:val="000000"/>
                <w:sz w:val="17"/>
                <w:szCs w:val="17"/>
              </w:rPr>
            </w:pPr>
          </w:p>
        </w:tc>
        <w:tc>
          <w:tcPr>
            <w:tcW w:w="258" w:type="dxa"/>
            <w:tcBorders>
              <w:top w:val="nil"/>
              <w:left w:val="nil"/>
              <w:bottom w:val="nil"/>
              <w:right w:val="nil"/>
            </w:tcBorders>
            <w:vAlign w:val="center"/>
            <w:hideMark/>
          </w:tcPr>
          <w:p w14:paraId="6E34622F" w14:textId="77777777" w:rsidR="009A3FE8" w:rsidRPr="009A3FE8" w:rsidRDefault="009A3FE8" w:rsidP="00F462AC">
            <w:pPr>
              <w:spacing w:after="0" w:line="240" w:lineRule="auto"/>
              <w:jc w:val="center"/>
              <w:rPr>
                <w:rFonts w:ascii="Times New Roman" w:eastAsia="Times New Roman" w:hAnsi="Times New Roman" w:cs="Times New Roman"/>
                <w:sz w:val="17"/>
                <w:szCs w:val="17"/>
              </w:rPr>
            </w:pPr>
          </w:p>
        </w:tc>
        <w:tc>
          <w:tcPr>
            <w:tcW w:w="1007" w:type="dxa"/>
            <w:tcBorders>
              <w:top w:val="nil"/>
              <w:left w:val="nil"/>
              <w:bottom w:val="nil"/>
              <w:right w:val="nil"/>
            </w:tcBorders>
            <w:vAlign w:val="center"/>
            <w:hideMark/>
          </w:tcPr>
          <w:p w14:paraId="6AA799A9" w14:textId="77777777" w:rsidR="009A3FE8" w:rsidRPr="009A3FE8" w:rsidRDefault="009A3FE8" w:rsidP="00F462AC">
            <w:pPr>
              <w:spacing w:after="0" w:line="240" w:lineRule="auto"/>
              <w:jc w:val="center"/>
              <w:rPr>
                <w:rFonts w:ascii="Calibri" w:eastAsia="Times New Roman" w:hAnsi="Calibri" w:cs="Calibri"/>
                <w:b/>
                <w:bCs/>
                <w:color w:val="000000"/>
                <w:sz w:val="17"/>
                <w:szCs w:val="17"/>
              </w:rPr>
            </w:pPr>
            <w:r w:rsidRPr="009A3FE8">
              <w:rPr>
                <w:rFonts w:ascii="Calibri" w:eastAsia="Times New Roman" w:hAnsi="Calibri" w:cs="Calibri"/>
                <w:b/>
                <w:bCs/>
                <w:color w:val="000000"/>
                <w:sz w:val="17"/>
                <w:szCs w:val="17"/>
              </w:rPr>
              <w:t>Female dominated</w:t>
            </w:r>
          </w:p>
        </w:tc>
        <w:tc>
          <w:tcPr>
            <w:tcW w:w="1007" w:type="dxa"/>
            <w:tcBorders>
              <w:top w:val="nil"/>
              <w:left w:val="nil"/>
              <w:bottom w:val="nil"/>
              <w:right w:val="nil"/>
            </w:tcBorders>
            <w:vAlign w:val="center"/>
            <w:hideMark/>
          </w:tcPr>
          <w:p w14:paraId="3ABEDA83" w14:textId="77777777" w:rsidR="009A3FE8" w:rsidRPr="009A3FE8" w:rsidRDefault="009A3FE8" w:rsidP="00F462AC">
            <w:pPr>
              <w:spacing w:after="0" w:line="240" w:lineRule="auto"/>
              <w:jc w:val="center"/>
              <w:rPr>
                <w:rFonts w:ascii="Calibri" w:eastAsia="Times New Roman" w:hAnsi="Calibri" w:cs="Calibri"/>
                <w:b/>
                <w:bCs/>
                <w:color w:val="000000"/>
                <w:sz w:val="17"/>
                <w:szCs w:val="17"/>
              </w:rPr>
            </w:pPr>
            <w:r w:rsidRPr="009A3FE8">
              <w:rPr>
                <w:rFonts w:ascii="Calibri" w:eastAsia="Times New Roman" w:hAnsi="Calibri" w:cs="Calibri"/>
                <w:b/>
                <w:bCs/>
                <w:color w:val="000000"/>
                <w:sz w:val="17"/>
                <w:szCs w:val="17"/>
              </w:rPr>
              <w:t>Male dominated</w:t>
            </w:r>
          </w:p>
        </w:tc>
        <w:tc>
          <w:tcPr>
            <w:tcW w:w="766" w:type="dxa"/>
            <w:tcBorders>
              <w:top w:val="nil"/>
              <w:left w:val="nil"/>
              <w:bottom w:val="nil"/>
              <w:right w:val="nil"/>
            </w:tcBorders>
            <w:vAlign w:val="center"/>
            <w:hideMark/>
          </w:tcPr>
          <w:p w14:paraId="46D19F91" w14:textId="77777777" w:rsidR="009A3FE8" w:rsidRPr="009A3FE8" w:rsidRDefault="009A3FE8" w:rsidP="00F462AC">
            <w:pPr>
              <w:spacing w:after="0" w:line="240" w:lineRule="auto"/>
              <w:jc w:val="center"/>
              <w:rPr>
                <w:rFonts w:ascii="Calibri" w:eastAsia="Times New Roman" w:hAnsi="Calibri" w:cs="Calibri"/>
                <w:b/>
                <w:bCs/>
                <w:color w:val="000000"/>
                <w:sz w:val="17"/>
                <w:szCs w:val="17"/>
              </w:rPr>
            </w:pPr>
            <w:r w:rsidRPr="009A3FE8">
              <w:rPr>
                <w:rFonts w:ascii="Calibri" w:eastAsia="Times New Roman" w:hAnsi="Calibri" w:cs="Calibri"/>
                <w:b/>
                <w:bCs/>
                <w:color w:val="000000"/>
                <w:sz w:val="17"/>
                <w:szCs w:val="17"/>
              </w:rPr>
              <w:t>Equal earners</w:t>
            </w:r>
          </w:p>
        </w:tc>
        <w:tc>
          <w:tcPr>
            <w:tcW w:w="258" w:type="dxa"/>
            <w:gridSpan w:val="2"/>
            <w:tcBorders>
              <w:top w:val="nil"/>
              <w:left w:val="nil"/>
              <w:bottom w:val="nil"/>
              <w:right w:val="nil"/>
            </w:tcBorders>
            <w:vAlign w:val="center"/>
            <w:hideMark/>
          </w:tcPr>
          <w:p w14:paraId="72E35E8E" w14:textId="77777777" w:rsidR="009A3FE8" w:rsidRPr="009A3FE8" w:rsidRDefault="009A3FE8" w:rsidP="00F462AC">
            <w:pPr>
              <w:spacing w:after="0" w:line="240" w:lineRule="auto"/>
              <w:jc w:val="center"/>
              <w:rPr>
                <w:rFonts w:ascii="Calibri" w:eastAsia="Times New Roman" w:hAnsi="Calibri" w:cs="Calibri"/>
                <w:b/>
                <w:bCs/>
                <w:color w:val="000000"/>
                <w:sz w:val="17"/>
                <w:szCs w:val="17"/>
              </w:rPr>
            </w:pPr>
          </w:p>
        </w:tc>
        <w:tc>
          <w:tcPr>
            <w:tcW w:w="606" w:type="dxa"/>
            <w:gridSpan w:val="2"/>
            <w:vMerge/>
            <w:tcBorders>
              <w:top w:val="nil"/>
              <w:left w:val="nil"/>
              <w:bottom w:val="nil"/>
              <w:right w:val="nil"/>
            </w:tcBorders>
            <w:vAlign w:val="center"/>
            <w:hideMark/>
          </w:tcPr>
          <w:p w14:paraId="17AF6879" w14:textId="77777777" w:rsidR="009A3FE8" w:rsidRPr="009A3FE8" w:rsidRDefault="009A3FE8" w:rsidP="00F462AC">
            <w:pPr>
              <w:spacing w:after="0" w:line="240" w:lineRule="auto"/>
              <w:jc w:val="center"/>
              <w:rPr>
                <w:rFonts w:ascii="Calibri" w:eastAsia="Times New Roman" w:hAnsi="Calibri" w:cs="Calibri"/>
                <w:b/>
                <w:bCs/>
                <w:color w:val="000000"/>
                <w:sz w:val="17"/>
                <w:szCs w:val="17"/>
              </w:rPr>
            </w:pPr>
          </w:p>
        </w:tc>
      </w:tr>
      <w:tr w:rsidR="00485972" w:rsidRPr="006743D6" w14:paraId="7A9363DD" w14:textId="77777777" w:rsidTr="00A80414">
        <w:trPr>
          <w:gridAfter w:val="1"/>
          <w:wAfter w:w="6" w:type="dxa"/>
          <w:trHeight w:val="247"/>
          <w:jc w:val="center"/>
        </w:trPr>
        <w:tc>
          <w:tcPr>
            <w:tcW w:w="565" w:type="dxa"/>
            <w:vMerge w:val="restart"/>
            <w:tcBorders>
              <w:top w:val="nil"/>
              <w:left w:val="nil"/>
              <w:bottom w:val="nil"/>
              <w:right w:val="nil"/>
            </w:tcBorders>
            <w:shd w:val="clear" w:color="000000" w:fill="DBDBDB"/>
            <w:textDirection w:val="btLr"/>
            <w:vAlign w:val="center"/>
            <w:hideMark/>
          </w:tcPr>
          <w:p w14:paraId="38CE843D" w14:textId="77777777" w:rsidR="00485972" w:rsidRPr="009A3FE8" w:rsidRDefault="00485972" w:rsidP="00485972">
            <w:pPr>
              <w:spacing w:after="0" w:line="240" w:lineRule="auto"/>
              <w:jc w:val="center"/>
              <w:rPr>
                <w:rFonts w:ascii="Calibri" w:eastAsia="Times New Roman" w:hAnsi="Calibri" w:cs="Calibri"/>
                <w:b/>
                <w:bCs/>
                <w:color w:val="000000"/>
                <w:sz w:val="17"/>
                <w:szCs w:val="17"/>
              </w:rPr>
            </w:pPr>
            <w:r w:rsidRPr="009A3FE8">
              <w:rPr>
                <w:rFonts w:ascii="Calibri" w:eastAsia="Times New Roman" w:hAnsi="Calibri" w:cs="Calibri"/>
                <w:b/>
                <w:bCs/>
                <w:color w:val="000000"/>
                <w:sz w:val="17"/>
                <w:szCs w:val="17"/>
              </w:rPr>
              <w:t>Demographic typology</w:t>
            </w:r>
          </w:p>
        </w:tc>
        <w:tc>
          <w:tcPr>
            <w:tcW w:w="3039" w:type="dxa"/>
            <w:tcBorders>
              <w:top w:val="single" w:sz="4" w:space="0" w:color="auto"/>
              <w:left w:val="nil"/>
              <w:bottom w:val="nil"/>
              <w:right w:val="nil"/>
            </w:tcBorders>
            <w:shd w:val="clear" w:color="000000" w:fill="D9E1F2"/>
            <w:noWrap/>
            <w:vAlign w:val="center"/>
            <w:hideMark/>
          </w:tcPr>
          <w:p w14:paraId="65B3F226" w14:textId="23C790D1" w:rsidR="00485972" w:rsidRPr="009A3FE8" w:rsidRDefault="00485972" w:rsidP="00485972">
            <w:pPr>
              <w:spacing w:after="0" w:line="240" w:lineRule="auto"/>
              <w:rPr>
                <w:rFonts w:ascii="Calibri" w:eastAsia="Times New Roman" w:hAnsi="Calibri" w:cs="Calibri"/>
                <w:b/>
                <w:bCs/>
                <w:sz w:val="17"/>
                <w:szCs w:val="17"/>
              </w:rPr>
            </w:pPr>
            <w:r>
              <w:rPr>
                <w:rFonts w:ascii="Calibri" w:eastAsia="Times New Roman" w:hAnsi="Calibri" w:cs="Calibri"/>
                <w:b/>
                <w:bCs/>
                <w:sz w:val="17"/>
                <w:szCs w:val="17"/>
              </w:rPr>
              <w:t>Single-person female</w:t>
            </w:r>
          </w:p>
        </w:tc>
        <w:tc>
          <w:tcPr>
            <w:tcW w:w="258" w:type="dxa"/>
            <w:tcBorders>
              <w:top w:val="single" w:sz="4" w:space="0" w:color="auto"/>
              <w:left w:val="nil"/>
              <w:bottom w:val="nil"/>
              <w:right w:val="nil"/>
            </w:tcBorders>
            <w:shd w:val="clear" w:color="000000" w:fill="D9E1F2"/>
            <w:noWrap/>
            <w:vAlign w:val="bottom"/>
            <w:hideMark/>
          </w:tcPr>
          <w:p w14:paraId="435D7B6A" w14:textId="64A66ABD" w:rsidR="00485972" w:rsidRPr="009A3FE8" w:rsidRDefault="00485972" w:rsidP="00485972">
            <w:pPr>
              <w:spacing w:after="0" w:line="240" w:lineRule="auto"/>
              <w:rPr>
                <w:rFonts w:ascii="Calibri" w:eastAsia="Times New Roman" w:hAnsi="Calibri" w:cs="Calibri"/>
                <w:b/>
                <w:bCs/>
                <w:sz w:val="17"/>
                <w:szCs w:val="17"/>
              </w:rPr>
            </w:pPr>
            <w:r>
              <w:rPr>
                <w:rFonts w:ascii="Calibri" w:eastAsia="Times New Roman" w:hAnsi="Calibri" w:cs="Calibri"/>
                <w:b/>
                <w:bCs/>
                <w:sz w:val="17"/>
                <w:szCs w:val="17"/>
              </w:rPr>
              <w:t> </w:t>
            </w:r>
          </w:p>
        </w:tc>
        <w:tc>
          <w:tcPr>
            <w:tcW w:w="735" w:type="dxa"/>
            <w:tcBorders>
              <w:top w:val="single" w:sz="4" w:space="0" w:color="auto"/>
              <w:left w:val="nil"/>
              <w:bottom w:val="nil"/>
              <w:right w:val="nil"/>
            </w:tcBorders>
            <w:shd w:val="clear" w:color="000000" w:fill="D9E1F2"/>
            <w:noWrap/>
            <w:vAlign w:val="bottom"/>
            <w:hideMark/>
          </w:tcPr>
          <w:p w14:paraId="745462A7" w14:textId="0E997566"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66%</w:t>
            </w:r>
          </w:p>
        </w:tc>
        <w:tc>
          <w:tcPr>
            <w:tcW w:w="817" w:type="dxa"/>
            <w:tcBorders>
              <w:top w:val="single" w:sz="4" w:space="0" w:color="auto"/>
              <w:left w:val="nil"/>
              <w:bottom w:val="nil"/>
              <w:right w:val="nil"/>
            </w:tcBorders>
            <w:shd w:val="clear" w:color="000000" w:fill="D9E1F2"/>
            <w:noWrap/>
            <w:vAlign w:val="bottom"/>
            <w:hideMark/>
          </w:tcPr>
          <w:p w14:paraId="64599601" w14:textId="2A8B8552"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3%</w:t>
            </w:r>
          </w:p>
        </w:tc>
        <w:tc>
          <w:tcPr>
            <w:tcW w:w="258" w:type="dxa"/>
            <w:tcBorders>
              <w:top w:val="single" w:sz="4" w:space="0" w:color="auto"/>
              <w:left w:val="nil"/>
              <w:bottom w:val="nil"/>
              <w:right w:val="nil"/>
            </w:tcBorders>
            <w:shd w:val="clear" w:color="000000" w:fill="D9E1F2"/>
            <w:noWrap/>
            <w:vAlign w:val="bottom"/>
            <w:hideMark/>
          </w:tcPr>
          <w:p w14:paraId="5BDC8F96" w14:textId="45865169" w:rsidR="00485972" w:rsidRPr="009A3FE8" w:rsidRDefault="00485972" w:rsidP="00485972">
            <w:pPr>
              <w:spacing w:after="0" w:line="240" w:lineRule="auto"/>
              <w:jc w:val="center"/>
              <w:rPr>
                <w:rFonts w:ascii="Calibri" w:eastAsia="Times New Roman" w:hAnsi="Calibri" w:cs="Calibri"/>
                <w:sz w:val="17"/>
                <w:szCs w:val="17"/>
              </w:rPr>
            </w:pPr>
          </w:p>
        </w:tc>
        <w:tc>
          <w:tcPr>
            <w:tcW w:w="763" w:type="dxa"/>
            <w:tcBorders>
              <w:top w:val="single" w:sz="4" w:space="0" w:color="auto"/>
              <w:left w:val="nil"/>
              <w:bottom w:val="nil"/>
              <w:right w:val="nil"/>
            </w:tcBorders>
            <w:shd w:val="clear" w:color="000000" w:fill="D9E1F2"/>
            <w:noWrap/>
            <w:vAlign w:val="bottom"/>
            <w:hideMark/>
          </w:tcPr>
          <w:p w14:paraId="377D448F" w14:textId="645993AC"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31%</w:t>
            </w:r>
          </w:p>
        </w:tc>
        <w:tc>
          <w:tcPr>
            <w:tcW w:w="258" w:type="dxa"/>
            <w:tcBorders>
              <w:top w:val="single" w:sz="4" w:space="0" w:color="auto"/>
              <w:left w:val="nil"/>
              <w:bottom w:val="nil"/>
              <w:right w:val="nil"/>
            </w:tcBorders>
            <w:shd w:val="clear" w:color="000000" w:fill="D9E1F2"/>
            <w:noWrap/>
            <w:vAlign w:val="bottom"/>
            <w:hideMark/>
          </w:tcPr>
          <w:p w14:paraId="5BBBFE56" w14:textId="5B830B71" w:rsidR="00485972" w:rsidRPr="009A3FE8" w:rsidRDefault="00485972" w:rsidP="00485972">
            <w:pPr>
              <w:spacing w:after="0" w:line="240" w:lineRule="auto"/>
              <w:jc w:val="center"/>
              <w:rPr>
                <w:rFonts w:ascii="Calibri" w:eastAsia="Times New Roman" w:hAnsi="Calibri" w:cs="Calibri"/>
                <w:sz w:val="17"/>
                <w:szCs w:val="17"/>
              </w:rPr>
            </w:pPr>
          </w:p>
        </w:tc>
        <w:tc>
          <w:tcPr>
            <w:tcW w:w="763" w:type="dxa"/>
            <w:tcBorders>
              <w:top w:val="single" w:sz="4" w:space="0" w:color="auto"/>
              <w:left w:val="nil"/>
              <w:bottom w:val="nil"/>
              <w:right w:val="nil"/>
            </w:tcBorders>
            <w:shd w:val="clear" w:color="000000" w:fill="D9E1F2"/>
            <w:noWrap/>
            <w:vAlign w:val="bottom"/>
            <w:hideMark/>
          </w:tcPr>
          <w:p w14:paraId="561901A8" w14:textId="332B5408"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0%</w:t>
            </w:r>
          </w:p>
        </w:tc>
        <w:tc>
          <w:tcPr>
            <w:tcW w:w="258" w:type="dxa"/>
            <w:tcBorders>
              <w:top w:val="single" w:sz="4" w:space="0" w:color="auto"/>
              <w:left w:val="nil"/>
              <w:bottom w:val="nil"/>
              <w:right w:val="nil"/>
            </w:tcBorders>
            <w:shd w:val="clear" w:color="000000" w:fill="D9E1F2"/>
            <w:noWrap/>
            <w:vAlign w:val="bottom"/>
            <w:hideMark/>
          </w:tcPr>
          <w:p w14:paraId="186170C3" w14:textId="20437360" w:rsidR="00485972" w:rsidRPr="009A3FE8" w:rsidRDefault="00485972" w:rsidP="00485972">
            <w:pPr>
              <w:spacing w:after="0" w:line="240" w:lineRule="auto"/>
              <w:jc w:val="center"/>
              <w:rPr>
                <w:rFonts w:ascii="Calibri" w:eastAsia="Times New Roman" w:hAnsi="Calibri" w:cs="Calibri"/>
                <w:sz w:val="17"/>
                <w:szCs w:val="17"/>
              </w:rPr>
            </w:pPr>
          </w:p>
        </w:tc>
        <w:tc>
          <w:tcPr>
            <w:tcW w:w="1007" w:type="dxa"/>
            <w:tcBorders>
              <w:top w:val="single" w:sz="4" w:space="0" w:color="auto"/>
              <w:left w:val="nil"/>
              <w:bottom w:val="nil"/>
              <w:right w:val="nil"/>
            </w:tcBorders>
            <w:shd w:val="clear" w:color="000000" w:fill="D9E1F2"/>
            <w:noWrap/>
            <w:vAlign w:val="bottom"/>
            <w:hideMark/>
          </w:tcPr>
          <w:p w14:paraId="6D2F9D70" w14:textId="6A6D10B2"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0%</w:t>
            </w:r>
          </w:p>
        </w:tc>
        <w:tc>
          <w:tcPr>
            <w:tcW w:w="1007" w:type="dxa"/>
            <w:tcBorders>
              <w:top w:val="single" w:sz="4" w:space="0" w:color="auto"/>
              <w:left w:val="nil"/>
              <w:bottom w:val="nil"/>
              <w:right w:val="nil"/>
            </w:tcBorders>
            <w:shd w:val="clear" w:color="000000" w:fill="D9E1F2"/>
            <w:noWrap/>
            <w:vAlign w:val="bottom"/>
            <w:hideMark/>
          </w:tcPr>
          <w:p w14:paraId="56B7BF28" w14:textId="5FD08AFC"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0%</w:t>
            </w:r>
          </w:p>
        </w:tc>
        <w:tc>
          <w:tcPr>
            <w:tcW w:w="766" w:type="dxa"/>
            <w:tcBorders>
              <w:top w:val="single" w:sz="4" w:space="0" w:color="auto"/>
              <w:left w:val="nil"/>
              <w:bottom w:val="nil"/>
              <w:right w:val="nil"/>
            </w:tcBorders>
            <w:shd w:val="clear" w:color="000000" w:fill="D9E1F2"/>
            <w:noWrap/>
            <w:vAlign w:val="bottom"/>
            <w:hideMark/>
          </w:tcPr>
          <w:p w14:paraId="622D49E8" w14:textId="277EFE39"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0%</w:t>
            </w:r>
          </w:p>
        </w:tc>
        <w:tc>
          <w:tcPr>
            <w:tcW w:w="258" w:type="dxa"/>
            <w:gridSpan w:val="2"/>
            <w:tcBorders>
              <w:top w:val="single" w:sz="4" w:space="0" w:color="auto"/>
              <w:left w:val="nil"/>
              <w:bottom w:val="nil"/>
              <w:right w:val="nil"/>
            </w:tcBorders>
            <w:shd w:val="clear" w:color="000000" w:fill="D9E1F2"/>
            <w:noWrap/>
            <w:vAlign w:val="bottom"/>
            <w:hideMark/>
          </w:tcPr>
          <w:p w14:paraId="7E792417" w14:textId="77777777" w:rsidR="00485972" w:rsidRPr="009A3FE8" w:rsidRDefault="00485972" w:rsidP="00485972">
            <w:pPr>
              <w:spacing w:after="0" w:line="240" w:lineRule="auto"/>
              <w:jc w:val="center"/>
              <w:rPr>
                <w:rFonts w:ascii="Calibri" w:eastAsia="Times New Roman" w:hAnsi="Calibri" w:cs="Calibri"/>
                <w:sz w:val="17"/>
                <w:szCs w:val="17"/>
              </w:rPr>
            </w:pPr>
            <w:r w:rsidRPr="009A3FE8">
              <w:rPr>
                <w:rFonts w:ascii="Calibri" w:eastAsia="Times New Roman" w:hAnsi="Calibri" w:cs="Calibri"/>
                <w:sz w:val="17"/>
                <w:szCs w:val="17"/>
              </w:rPr>
              <w:t> </w:t>
            </w:r>
          </w:p>
        </w:tc>
        <w:tc>
          <w:tcPr>
            <w:tcW w:w="606" w:type="dxa"/>
            <w:gridSpan w:val="2"/>
            <w:tcBorders>
              <w:top w:val="single" w:sz="4" w:space="0" w:color="auto"/>
              <w:left w:val="nil"/>
              <w:bottom w:val="nil"/>
              <w:right w:val="nil"/>
            </w:tcBorders>
            <w:shd w:val="clear" w:color="000000" w:fill="FFFFFF"/>
            <w:noWrap/>
            <w:vAlign w:val="bottom"/>
            <w:hideMark/>
          </w:tcPr>
          <w:p w14:paraId="086A8C42" w14:textId="77777777" w:rsidR="00485972" w:rsidRPr="009A3FE8" w:rsidRDefault="00485972" w:rsidP="00485972">
            <w:pPr>
              <w:spacing w:after="0" w:line="240" w:lineRule="auto"/>
              <w:jc w:val="center"/>
              <w:rPr>
                <w:rFonts w:ascii="Calibri" w:eastAsia="Times New Roman" w:hAnsi="Calibri" w:cs="Calibri"/>
                <w:sz w:val="17"/>
                <w:szCs w:val="17"/>
              </w:rPr>
            </w:pPr>
            <w:r w:rsidRPr="009A3FE8">
              <w:rPr>
                <w:rFonts w:ascii="Calibri" w:eastAsia="Times New Roman" w:hAnsi="Calibri" w:cs="Calibri"/>
                <w:sz w:val="17"/>
                <w:szCs w:val="17"/>
              </w:rPr>
              <w:t>100%</w:t>
            </w:r>
          </w:p>
        </w:tc>
      </w:tr>
      <w:tr w:rsidR="00485972" w:rsidRPr="006743D6" w14:paraId="5FF39236" w14:textId="77777777" w:rsidTr="00A80414">
        <w:trPr>
          <w:gridAfter w:val="1"/>
          <w:wAfter w:w="6" w:type="dxa"/>
          <w:trHeight w:val="255"/>
          <w:jc w:val="center"/>
        </w:trPr>
        <w:tc>
          <w:tcPr>
            <w:tcW w:w="565" w:type="dxa"/>
            <w:vMerge/>
            <w:tcBorders>
              <w:top w:val="nil"/>
              <w:left w:val="nil"/>
              <w:bottom w:val="nil"/>
              <w:right w:val="nil"/>
            </w:tcBorders>
            <w:vAlign w:val="center"/>
            <w:hideMark/>
          </w:tcPr>
          <w:p w14:paraId="036B15B7" w14:textId="77777777" w:rsidR="00485972" w:rsidRPr="009A3FE8" w:rsidRDefault="00485972" w:rsidP="00485972">
            <w:pPr>
              <w:spacing w:after="0" w:line="240" w:lineRule="auto"/>
              <w:rPr>
                <w:rFonts w:ascii="Calibri" w:eastAsia="Times New Roman" w:hAnsi="Calibri" w:cs="Calibri"/>
                <w:b/>
                <w:bCs/>
                <w:color w:val="000000"/>
                <w:sz w:val="17"/>
                <w:szCs w:val="17"/>
              </w:rPr>
            </w:pPr>
          </w:p>
        </w:tc>
        <w:tc>
          <w:tcPr>
            <w:tcW w:w="3039" w:type="dxa"/>
            <w:tcBorders>
              <w:top w:val="nil"/>
              <w:left w:val="nil"/>
              <w:bottom w:val="nil"/>
              <w:right w:val="nil"/>
            </w:tcBorders>
            <w:noWrap/>
            <w:vAlign w:val="center"/>
            <w:hideMark/>
          </w:tcPr>
          <w:p w14:paraId="3E2CCDD8" w14:textId="631D63FF" w:rsidR="00485972" w:rsidRPr="009A3FE8" w:rsidRDefault="00485972" w:rsidP="00485972">
            <w:pPr>
              <w:spacing w:after="0" w:line="240" w:lineRule="auto"/>
              <w:rPr>
                <w:rFonts w:ascii="Calibri" w:eastAsia="Times New Roman" w:hAnsi="Calibri" w:cs="Calibri"/>
                <w:b/>
                <w:bCs/>
                <w:sz w:val="17"/>
                <w:szCs w:val="17"/>
              </w:rPr>
            </w:pPr>
            <w:r>
              <w:rPr>
                <w:rFonts w:ascii="Calibri" w:eastAsia="Times New Roman" w:hAnsi="Calibri" w:cs="Calibri"/>
                <w:b/>
                <w:bCs/>
                <w:sz w:val="17"/>
                <w:szCs w:val="17"/>
              </w:rPr>
              <w:t>Single-person male</w:t>
            </w:r>
          </w:p>
        </w:tc>
        <w:tc>
          <w:tcPr>
            <w:tcW w:w="258" w:type="dxa"/>
            <w:tcBorders>
              <w:top w:val="nil"/>
              <w:left w:val="nil"/>
              <w:bottom w:val="nil"/>
              <w:right w:val="nil"/>
            </w:tcBorders>
            <w:noWrap/>
            <w:vAlign w:val="bottom"/>
            <w:hideMark/>
          </w:tcPr>
          <w:p w14:paraId="57E1B26E" w14:textId="77777777" w:rsidR="00485972" w:rsidRPr="009A3FE8" w:rsidRDefault="00485972" w:rsidP="00485972">
            <w:pPr>
              <w:spacing w:after="0" w:line="240" w:lineRule="auto"/>
              <w:rPr>
                <w:rFonts w:ascii="Calibri" w:eastAsia="Times New Roman" w:hAnsi="Calibri" w:cs="Calibri"/>
                <w:b/>
                <w:bCs/>
                <w:sz w:val="17"/>
                <w:szCs w:val="17"/>
              </w:rPr>
            </w:pPr>
          </w:p>
        </w:tc>
        <w:tc>
          <w:tcPr>
            <w:tcW w:w="735" w:type="dxa"/>
            <w:tcBorders>
              <w:top w:val="nil"/>
              <w:left w:val="nil"/>
              <w:bottom w:val="nil"/>
              <w:right w:val="nil"/>
            </w:tcBorders>
            <w:noWrap/>
            <w:vAlign w:val="bottom"/>
            <w:hideMark/>
          </w:tcPr>
          <w:p w14:paraId="0887136F" w14:textId="76ECEEAC"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24%</w:t>
            </w:r>
          </w:p>
        </w:tc>
        <w:tc>
          <w:tcPr>
            <w:tcW w:w="817" w:type="dxa"/>
            <w:tcBorders>
              <w:top w:val="nil"/>
              <w:left w:val="nil"/>
              <w:bottom w:val="nil"/>
              <w:right w:val="nil"/>
            </w:tcBorders>
            <w:noWrap/>
            <w:vAlign w:val="bottom"/>
            <w:hideMark/>
          </w:tcPr>
          <w:p w14:paraId="41014B43" w14:textId="16A605F7"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5%</w:t>
            </w:r>
          </w:p>
        </w:tc>
        <w:tc>
          <w:tcPr>
            <w:tcW w:w="258" w:type="dxa"/>
            <w:tcBorders>
              <w:top w:val="nil"/>
              <w:left w:val="nil"/>
              <w:bottom w:val="nil"/>
              <w:right w:val="nil"/>
            </w:tcBorders>
            <w:noWrap/>
            <w:vAlign w:val="bottom"/>
            <w:hideMark/>
          </w:tcPr>
          <w:p w14:paraId="69B11D2F" w14:textId="77777777" w:rsidR="00485972" w:rsidRPr="009A3FE8" w:rsidRDefault="00485972" w:rsidP="00485972">
            <w:pPr>
              <w:spacing w:after="0" w:line="240" w:lineRule="auto"/>
              <w:jc w:val="center"/>
              <w:rPr>
                <w:rFonts w:ascii="Calibri" w:eastAsia="Times New Roman" w:hAnsi="Calibri" w:cs="Calibri"/>
                <w:sz w:val="17"/>
                <w:szCs w:val="17"/>
              </w:rPr>
            </w:pPr>
          </w:p>
        </w:tc>
        <w:tc>
          <w:tcPr>
            <w:tcW w:w="763" w:type="dxa"/>
            <w:tcBorders>
              <w:top w:val="nil"/>
              <w:left w:val="nil"/>
              <w:bottom w:val="nil"/>
              <w:right w:val="nil"/>
            </w:tcBorders>
            <w:noWrap/>
            <w:vAlign w:val="bottom"/>
            <w:hideMark/>
          </w:tcPr>
          <w:p w14:paraId="4AB977BB" w14:textId="729E27D2"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0%</w:t>
            </w:r>
          </w:p>
        </w:tc>
        <w:tc>
          <w:tcPr>
            <w:tcW w:w="258" w:type="dxa"/>
            <w:tcBorders>
              <w:top w:val="nil"/>
              <w:left w:val="nil"/>
              <w:bottom w:val="nil"/>
              <w:right w:val="nil"/>
            </w:tcBorders>
            <w:noWrap/>
            <w:vAlign w:val="bottom"/>
            <w:hideMark/>
          </w:tcPr>
          <w:p w14:paraId="48330ABD" w14:textId="77777777" w:rsidR="00485972" w:rsidRPr="009A3FE8" w:rsidRDefault="00485972" w:rsidP="00485972">
            <w:pPr>
              <w:spacing w:after="0" w:line="240" w:lineRule="auto"/>
              <w:jc w:val="center"/>
              <w:rPr>
                <w:rFonts w:ascii="Calibri" w:eastAsia="Times New Roman" w:hAnsi="Calibri" w:cs="Calibri"/>
                <w:sz w:val="17"/>
                <w:szCs w:val="17"/>
              </w:rPr>
            </w:pPr>
          </w:p>
        </w:tc>
        <w:tc>
          <w:tcPr>
            <w:tcW w:w="763" w:type="dxa"/>
            <w:tcBorders>
              <w:top w:val="nil"/>
              <w:left w:val="nil"/>
              <w:bottom w:val="nil"/>
              <w:right w:val="nil"/>
            </w:tcBorders>
            <w:noWrap/>
            <w:vAlign w:val="bottom"/>
            <w:hideMark/>
          </w:tcPr>
          <w:p w14:paraId="692FCB46" w14:textId="6AB09151"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71%</w:t>
            </w:r>
          </w:p>
        </w:tc>
        <w:tc>
          <w:tcPr>
            <w:tcW w:w="258" w:type="dxa"/>
            <w:tcBorders>
              <w:top w:val="nil"/>
              <w:left w:val="nil"/>
              <w:bottom w:val="nil"/>
              <w:right w:val="nil"/>
            </w:tcBorders>
            <w:noWrap/>
            <w:vAlign w:val="bottom"/>
            <w:hideMark/>
          </w:tcPr>
          <w:p w14:paraId="69963BBB" w14:textId="77777777" w:rsidR="00485972" w:rsidRPr="009A3FE8" w:rsidRDefault="00485972" w:rsidP="00485972">
            <w:pPr>
              <w:spacing w:after="0" w:line="240" w:lineRule="auto"/>
              <w:jc w:val="center"/>
              <w:rPr>
                <w:rFonts w:ascii="Calibri" w:eastAsia="Times New Roman" w:hAnsi="Calibri" w:cs="Calibri"/>
                <w:sz w:val="17"/>
                <w:szCs w:val="17"/>
              </w:rPr>
            </w:pPr>
          </w:p>
        </w:tc>
        <w:tc>
          <w:tcPr>
            <w:tcW w:w="1007" w:type="dxa"/>
            <w:tcBorders>
              <w:top w:val="nil"/>
              <w:left w:val="nil"/>
              <w:bottom w:val="nil"/>
              <w:right w:val="nil"/>
            </w:tcBorders>
            <w:noWrap/>
            <w:vAlign w:val="bottom"/>
            <w:hideMark/>
          </w:tcPr>
          <w:p w14:paraId="437E6613" w14:textId="79AF4A1E"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0%</w:t>
            </w:r>
          </w:p>
        </w:tc>
        <w:tc>
          <w:tcPr>
            <w:tcW w:w="1007" w:type="dxa"/>
            <w:tcBorders>
              <w:top w:val="nil"/>
              <w:left w:val="nil"/>
              <w:bottom w:val="nil"/>
              <w:right w:val="nil"/>
            </w:tcBorders>
            <w:noWrap/>
            <w:vAlign w:val="bottom"/>
            <w:hideMark/>
          </w:tcPr>
          <w:p w14:paraId="631ECB61" w14:textId="34944817"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0%</w:t>
            </w:r>
          </w:p>
        </w:tc>
        <w:tc>
          <w:tcPr>
            <w:tcW w:w="766" w:type="dxa"/>
            <w:tcBorders>
              <w:top w:val="nil"/>
              <w:left w:val="nil"/>
              <w:bottom w:val="nil"/>
              <w:right w:val="nil"/>
            </w:tcBorders>
            <w:noWrap/>
            <w:vAlign w:val="bottom"/>
            <w:hideMark/>
          </w:tcPr>
          <w:p w14:paraId="2F6D3855" w14:textId="54D993F7"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0%</w:t>
            </w:r>
          </w:p>
        </w:tc>
        <w:tc>
          <w:tcPr>
            <w:tcW w:w="258" w:type="dxa"/>
            <w:gridSpan w:val="2"/>
            <w:tcBorders>
              <w:top w:val="nil"/>
              <w:left w:val="nil"/>
              <w:bottom w:val="nil"/>
              <w:right w:val="nil"/>
            </w:tcBorders>
            <w:noWrap/>
            <w:vAlign w:val="bottom"/>
            <w:hideMark/>
          </w:tcPr>
          <w:p w14:paraId="0C16E488" w14:textId="77777777" w:rsidR="00485972" w:rsidRPr="009A3FE8" w:rsidRDefault="00485972" w:rsidP="00485972">
            <w:pPr>
              <w:spacing w:after="0" w:line="240" w:lineRule="auto"/>
              <w:jc w:val="center"/>
              <w:rPr>
                <w:rFonts w:ascii="Calibri" w:eastAsia="Times New Roman" w:hAnsi="Calibri" w:cs="Calibri"/>
                <w:sz w:val="17"/>
                <w:szCs w:val="17"/>
              </w:rPr>
            </w:pPr>
          </w:p>
        </w:tc>
        <w:tc>
          <w:tcPr>
            <w:tcW w:w="606" w:type="dxa"/>
            <w:gridSpan w:val="2"/>
            <w:tcBorders>
              <w:top w:val="nil"/>
              <w:left w:val="nil"/>
              <w:bottom w:val="nil"/>
              <w:right w:val="nil"/>
            </w:tcBorders>
            <w:noWrap/>
            <w:vAlign w:val="bottom"/>
            <w:hideMark/>
          </w:tcPr>
          <w:p w14:paraId="6549EC1A" w14:textId="77777777" w:rsidR="00485972" w:rsidRPr="009A3FE8" w:rsidRDefault="00485972" w:rsidP="00485972">
            <w:pPr>
              <w:spacing w:after="0" w:line="240" w:lineRule="auto"/>
              <w:jc w:val="center"/>
              <w:rPr>
                <w:rFonts w:ascii="Calibri" w:eastAsia="Times New Roman" w:hAnsi="Calibri" w:cs="Calibri"/>
                <w:sz w:val="17"/>
                <w:szCs w:val="17"/>
              </w:rPr>
            </w:pPr>
            <w:r w:rsidRPr="009A3FE8">
              <w:rPr>
                <w:rFonts w:ascii="Calibri" w:eastAsia="Times New Roman" w:hAnsi="Calibri" w:cs="Calibri"/>
                <w:sz w:val="17"/>
                <w:szCs w:val="17"/>
              </w:rPr>
              <w:t>100%</w:t>
            </w:r>
          </w:p>
        </w:tc>
      </w:tr>
      <w:tr w:rsidR="00485972" w:rsidRPr="006743D6" w14:paraId="60D61ACE" w14:textId="77777777" w:rsidTr="00A80414">
        <w:trPr>
          <w:gridAfter w:val="1"/>
          <w:wAfter w:w="6" w:type="dxa"/>
          <w:trHeight w:val="255"/>
          <w:jc w:val="center"/>
        </w:trPr>
        <w:tc>
          <w:tcPr>
            <w:tcW w:w="565" w:type="dxa"/>
            <w:vMerge/>
            <w:tcBorders>
              <w:top w:val="nil"/>
              <w:left w:val="nil"/>
              <w:bottom w:val="nil"/>
              <w:right w:val="nil"/>
            </w:tcBorders>
            <w:vAlign w:val="center"/>
            <w:hideMark/>
          </w:tcPr>
          <w:p w14:paraId="1E3D099F" w14:textId="77777777" w:rsidR="00485972" w:rsidRPr="009A3FE8" w:rsidRDefault="00485972" w:rsidP="00485972">
            <w:pPr>
              <w:spacing w:after="0" w:line="240" w:lineRule="auto"/>
              <w:rPr>
                <w:rFonts w:ascii="Calibri" w:eastAsia="Times New Roman" w:hAnsi="Calibri" w:cs="Calibri"/>
                <w:b/>
                <w:bCs/>
                <w:color w:val="000000"/>
                <w:sz w:val="17"/>
                <w:szCs w:val="17"/>
              </w:rPr>
            </w:pPr>
          </w:p>
        </w:tc>
        <w:tc>
          <w:tcPr>
            <w:tcW w:w="3039" w:type="dxa"/>
            <w:tcBorders>
              <w:top w:val="nil"/>
              <w:left w:val="nil"/>
              <w:bottom w:val="nil"/>
              <w:right w:val="nil"/>
            </w:tcBorders>
            <w:shd w:val="clear" w:color="000000" w:fill="D9E1F2"/>
            <w:noWrap/>
            <w:vAlign w:val="center"/>
            <w:hideMark/>
          </w:tcPr>
          <w:p w14:paraId="26A6D0BC" w14:textId="50F64060" w:rsidR="00485972" w:rsidRPr="009A3FE8" w:rsidRDefault="00485972" w:rsidP="00485972">
            <w:pPr>
              <w:spacing w:after="0" w:line="240" w:lineRule="auto"/>
              <w:rPr>
                <w:rFonts w:ascii="Calibri" w:eastAsia="Times New Roman" w:hAnsi="Calibri" w:cs="Calibri"/>
                <w:b/>
                <w:bCs/>
                <w:sz w:val="17"/>
                <w:szCs w:val="17"/>
              </w:rPr>
            </w:pPr>
            <w:r>
              <w:rPr>
                <w:rFonts w:ascii="Calibri" w:eastAsia="Times New Roman" w:hAnsi="Calibri" w:cs="Calibri"/>
                <w:b/>
                <w:bCs/>
                <w:sz w:val="17"/>
                <w:szCs w:val="17"/>
              </w:rPr>
              <w:t>Single woman with individuals under 25</w:t>
            </w:r>
          </w:p>
        </w:tc>
        <w:tc>
          <w:tcPr>
            <w:tcW w:w="258" w:type="dxa"/>
            <w:tcBorders>
              <w:top w:val="nil"/>
              <w:left w:val="nil"/>
              <w:bottom w:val="nil"/>
              <w:right w:val="nil"/>
            </w:tcBorders>
            <w:shd w:val="clear" w:color="000000" w:fill="D9E1F2"/>
            <w:noWrap/>
            <w:vAlign w:val="bottom"/>
            <w:hideMark/>
          </w:tcPr>
          <w:p w14:paraId="68A28A12" w14:textId="1BF7FC64" w:rsidR="00485972" w:rsidRPr="009A3FE8" w:rsidRDefault="00485972" w:rsidP="00485972">
            <w:pPr>
              <w:spacing w:after="0" w:line="240" w:lineRule="auto"/>
              <w:rPr>
                <w:rFonts w:ascii="Calibri" w:eastAsia="Times New Roman" w:hAnsi="Calibri" w:cs="Calibri"/>
                <w:b/>
                <w:bCs/>
                <w:sz w:val="17"/>
                <w:szCs w:val="17"/>
              </w:rPr>
            </w:pPr>
            <w:r>
              <w:rPr>
                <w:rFonts w:ascii="Calibri" w:eastAsia="Times New Roman" w:hAnsi="Calibri" w:cs="Calibri"/>
                <w:b/>
                <w:bCs/>
                <w:sz w:val="17"/>
                <w:szCs w:val="17"/>
              </w:rPr>
              <w:t> </w:t>
            </w:r>
          </w:p>
        </w:tc>
        <w:tc>
          <w:tcPr>
            <w:tcW w:w="735" w:type="dxa"/>
            <w:tcBorders>
              <w:top w:val="nil"/>
              <w:left w:val="nil"/>
              <w:bottom w:val="nil"/>
              <w:right w:val="nil"/>
            </w:tcBorders>
            <w:shd w:val="clear" w:color="000000" w:fill="D9E1F2"/>
            <w:noWrap/>
            <w:vAlign w:val="bottom"/>
            <w:hideMark/>
          </w:tcPr>
          <w:p w14:paraId="3E97C335" w14:textId="1FBB7696"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3%</w:t>
            </w:r>
          </w:p>
        </w:tc>
        <w:tc>
          <w:tcPr>
            <w:tcW w:w="817" w:type="dxa"/>
            <w:tcBorders>
              <w:top w:val="nil"/>
              <w:left w:val="nil"/>
              <w:bottom w:val="nil"/>
              <w:right w:val="nil"/>
            </w:tcBorders>
            <w:shd w:val="clear" w:color="000000" w:fill="D9E1F2"/>
            <w:noWrap/>
            <w:vAlign w:val="bottom"/>
            <w:hideMark/>
          </w:tcPr>
          <w:p w14:paraId="5F28ACF5" w14:textId="0D44F49E"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10%</w:t>
            </w:r>
          </w:p>
        </w:tc>
        <w:tc>
          <w:tcPr>
            <w:tcW w:w="258" w:type="dxa"/>
            <w:tcBorders>
              <w:top w:val="nil"/>
              <w:left w:val="nil"/>
              <w:bottom w:val="nil"/>
              <w:right w:val="nil"/>
            </w:tcBorders>
            <w:shd w:val="clear" w:color="000000" w:fill="D9E1F2"/>
            <w:noWrap/>
            <w:vAlign w:val="bottom"/>
            <w:hideMark/>
          </w:tcPr>
          <w:p w14:paraId="368011A4" w14:textId="2969106A" w:rsidR="00485972" w:rsidRPr="009A3FE8" w:rsidRDefault="00485972" w:rsidP="00485972">
            <w:pPr>
              <w:spacing w:after="0" w:line="240" w:lineRule="auto"/>
              <w:jc w:val="center"/>
              <w:rPr>
                <w:rFonts w:ascii="Calibri" w:eastAsia="Times New Roman" w:hAnsi="Calibri" w:cs="Calibri"/>
                <w:sz w:val="17"/>
                <w:szCs w:val="17"/>
              </w:rPr>
            </w:pPr>
          </w:p>
        </w:tc>
        <w:tc>
          <w:tcPr>
            <w:tcW w:w="763" w:type="dxa"/>
            <w:tcBorders>
              <w:top w:val="nil"/>
              <w:left w:val="nil"/>
              <w:bottom w:val="nil"/>
              <w:right w:val="nil"/>
            </w:tcBorders>
            <w:shd w:val="clear" w:color="000000" w:fill="D9E1F2"/>
            <w:noWrap/>
            <w:vAlign w:val="bottom"/>
            <w:hideMark/>
          </w:tcPr>
          <w:p w14:paraId="6A3183DD" w14:textId="3B5E73E9"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69%</w:t>
            </w:r>
          </w:p>
        </w:tc>
        <w:tc>
          <w:tcPr>
            <w:tcW w:w="258" w:type="dxa"/>
            <w:tcBorders>
              <w:top w:val="nil"/>
              <w:left w:val="nil"/>
              <w:bottom w:val="nil"/>
              <w:right w:val="nil"/>
            </w:tcBorders>
            <w:shd w:val="clear" w:color="000000" w:fill="D9E1F2"/>
            <w:noWrap/>
            <w:vAlign w:val="bottom"/>
            <w:hideMark/>
          </w:tcPr>
          <w:p w14:paraId="089C9379" w14:textId="31919334" w:rsidR="00485972" w:rsidRPr="009A3FE8" w:rsidRDefault="00485972" w:rsidP="00485972">
            <w:pPr>
              <w:spacing w:after="0" w:line="240" w:lineRule="auto"/>
              <w:jc w:val="center"/>
              <w:rPr>
                <w:rFonts w:ascii="Calibri" w:eastAsia="Times New Roman" w:hAnsi="Calibri" w:cs="Calibri"/>
                <w:sz w:val="17"/>
                <w:szCs w:val="17"/>
              </w:rPr>
            </w:pPr>
          </w:p>
        </w:tc>
        <w:tc>
          <w:tcPr>
            <w:tcW w:w="763" w:type="dxa"/>
            <w:tcBorders>
              <w:top w:val="nil"/>
              <w:left w:val="nil"/>
              <w:bottom w:val="nil"/>
              <w:right w:val="nil"/>
            </w:tcBorders>
            <w:shd w:val="clear" w:color="000000" w:fill="D9E1F2"/>
            <w:noWrap/>
            <w:vAlign w:val="bottom"/>
            <w:hideMark/>
          </w:tcPr>
          <w:p w14:paraId="79D248CB" w14:textId="10EE37FA"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4%</w:t>
            </w:r>
          </w:p>
        </w:tc>
        <w:tc>
          <w:tcPr>
            <w:tcW w:w="258" w:type="dxa"/>
            <w:tcBorders>
              <w:top w:val="nil"/>
              <w:left w:val="nil"/>
              <w:bottom w:val="nil"/>
              <w:right w:val="nil"/>
            </w:tcBorders>
            <w:shd w:val="clear" w:color="000000" w:fill="D9E1F2"/>
            <w:noWrap/>
            <w:vAlign w:val="bottom"/>
            <w:hideMark/>
          </w:tcPr>
          <w:p w14:paraId="133F8AA9" w14:textId="1DE619E9" w:rsidR="00485972" w:rsidRPr="009A3FE8" w:rsidRDefault="00485972" w:rsidP="00485972">
            <w:pPr>
              <w:spacing w:after="0" w:line="240" w:lineRule="auto"/>
              <w:jc w:val="center"/>
              <w:rPr>
                <w:rFonts w:ascii="Calibri" w:eastAsia="Times New Roman" w:hAnsi="Calibri" w:cs="Calibri"/>
                <w:sz w:val="17"/>
                <w:szCs w:val="17"/>
              </w:rPr>
            </w:pPr>
          </w:p>
        </w:tc>
        <w:tc>
          <w:tcPr>
            <w:tcW w:w="1007" w:type="dxa"/>
            <w:tcBorders>
              <w:top w:val="nil"/>
              <w:left w:val="nil"/>
              <w:bottom w:val="nil"/>
              <w:right w:val="nil"/>
            </w:tcBorders>
            <w:shd w:val="clear" w:color="000000" w:fill="D9E1F2"/>
            <w:noWrap/>
            <w:vAlign w:val="bottom"/>
            <w:hideMark/>
          </w:tcPr>
          <w:p w14:paraId="07B73310" w14:textId="0EF6122B"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8%</w:t>
            </w:r>
          </w:p>
        </w:tc>
        <w:tc>
          <w:tcPr>
            <w:tcW w:w="1007" w:type="dxa"/>
            <w:tcBorders>
              <w:top w:val="nil"/>
              <w:left w:val="nil"/>
              <w:bottom w:val="nil"/>
              <w:right w:val="nil"/>
            </w:tcBorders>
            <w:shd w:val="clear" w:color="000000" w:fill="D9E1F2"/>
            <w:noWrap/>
            <w:vAlign w:val="bottom"/>
            <w:hideMark/>
          </w:tcPr>
          <w:p w14:paraId="1A2EB319" w14:textId="223A75A9"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4%</w:t>
            </w:r>
          </w:p>
        </w:tc>
        <w:tc>
          <w:tcPr>
            <w:tcW w:w="766" w:type="dxa"/>
            <w:tcBorders>
              <w:top w:val="nil"/>
              <w:left w:val="nil"/>
              <w:bottom w:val="nil"/>
              <w:right w:val="nil"/>
            </w:tcBorders>
            <w:shd w:val="clear" w:color="000000" w:fill="D9E1F2"/>
            <w:noWrap/>
            <w:vAlign w:val="bottom"/>
            <w:hideMark/>
          </w:tcPr>
          <w:p w14:paraId="0C998819" w14:textId="71C45530"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2%</w:t>
            </w:r>
          </w:p>
        </w:tc>
        <w:tc>
          <w:tcPr>
            <w:tcW w:w="258" w:type="dxa"/>
            <w:gridSpan w:val="2"/>
            <w:tcBorders>
              <w:top w:val="nil"/>
              <w:left w:val="nil"/>
              <w:bottom w:val="nil"/>
              <w:right w:val="nil"/>
            </w:tcBorders>
            <w:shd w:val="clear" w:color="000000" w:fill="D9E1F2"/>
            <w:noWrap/>
            <w:vAlign w:val="bottom"/>
            <w:hideMark/>
          </w:tcPr>
          <w:p w14:paraId="7906DB87" w14:textId="77777777" w:rsidR="00485972" w:rsidRPr="009A3FE8" w:rsidRDefault="00485972" w:rsidP="00485972">
            <w:pPr>
              <w:spacing w:after="0" w:line="240" w:lineRule="auto"/>
              <w:jc w:val="center"/>
              <w:rPr>
                <w:rFonts w:ascii="Calibri" w:eastAsia="Times New Roman" w:hAnsi="Calibri" w:cs="Calibri"/>
                <w:sz w:val="17"/>
                <w:szCs w:val="17"/>
              </w:rPr>
            </w:pPr>
            <w:r w:rsidRPr="009A3FE8">
              <w:rPr>
                <w:rFonts w:ascii="Calibri" w:eastAsia="Times New Roman" w:hAnsi="Calibri" w:cs="Calibri"/>
                <w:sz w:val="17"/>
                <w:szCs w:val="17"/>
              </w:rPr>
              <w:t> </w:t>
            </w:r>
          </w:p>
        </w:tc>
        <w:tc>
          <w:tcPr>
            <w:tcW w:w="606" w:type="dxa"/>
            <w:gridSpan w:val="2"/>
            <w:tcBorders>
              <w:top w:val="nil"/>
              <w:left w:val="nil"/>
              <w:bottom w:val="nil"/>
              <w:right w:val="nil"/>
            </w:tcBorders>
            <w:shd w:val="clear" w:color="000000" w:fill="FFFFFF"/>
            <w:noWrap/>
            <w:vAlign w:val="bottom"/>
            <w:hideMark/>
          </w:tcPr>
          <w:p w14:paraId="1720CFF1" w14:textId="77777777" w:rsidR="00485972" w:rsidRPr="009A3FE8" w:rsidRDefault="00485972" w:rsidP="00485972">
            <w:pPr>
              <w:spacing w:after="0" w:line="240" w:lineRule="auto"/>
              <w:jc w:val="center"/>
              <w:rPr>
                <w:rFonts w:ascii="Calibri" w:eastAsia="Times New Roman" w:hAnsi="Calibri" w:cs="Calibri"/>
                <w:sz w:val="17"/>
                <w:szCs w:val="17"/>
              </w:rPr>
            </w:pPr>
            <w:r w:rsidRPr="009A3FE8">
              <w:rPr>
                <w:rFonts w:ascii="Calibri" w:eastAsia="Times New Roman" w:hAnsi="Calibri" w:cs="Calibri"/>
                <w:sz w:val="17"/>
                <w:szCs w:val="17"/>
              </w:rPr>
              <w:t>100%</w:t>
            </w:r>
          </w:p>
        </w:tc>
      </w:tr>
      <w:tr w:rsidR="00485972" w:rsidRPr="006743D6" w14:paraId="3BDE6562" w14:textId="77777777" w:rsidTr="00A80414">
        <w:trPr>
          <w:gridAfter w:val="1"/>
          <w:wAfter w:w="6" w:type="dxa"/>
          <w:trHeight w:val="255"/>
          <w:jc w:val="center"/>
        </w:trPr>
        <w:tc>
          <w:tcPr>
            <w:tcW w:w="565" w:type="dxa"/>
            <w:vMerge/>
            <w:tcBorders>
              <w:top w:val="nil"/>
              <w:left w:val="nil"/>
              <w:bottom w:val="nil"/>
              <w:right w:val="nil"/>
            </w:tcBorders>
            <w:vAlign w:val="center"/>
            <w:hideMark/>
          </w:tcPr>
          <w:p w14:paraId="10CF2AE7" w14:textId="77777777" w:rsidR="00485972" w:rsidRPr="009A3FE8" w:rsidRDefault="00485972" w:rsidP="00485972">
            <w:pPr>
              <w:spacing w:after="0" w:line="240" w:lineRule="auto"/>
              <w:rPr>
                <w:rFonts w:ascii="Calibri" w:eastAsia="Times New Roman" w:hAnsi="Calibri" w:cs="Calibri"/>
                <w:b/>
                <w:bCs/>
                <w:color w:val="000000"/>
                <w:sz w:val="17"/>
                <w:szCs w:val="17"/>
              </w:rPr>
            </w:pPr>
          </w:p>
        </w:tc>
        <w:tc>
          <w:tcPr>
            <w:tcW w:w="3039" w:type="dxa"/>
            <w:tcBorders>
              <w:top w:val="nil"/>
              <w:left w:val="nil"/>
              <w:bottom w:val="nil"/>
              <w:right w:val="nil"/>
            </w:tcBorders>
            <w:noWrap/>
            <w:vAlign w:val="center"/>
            <w:hideMark/>
          </w:tcPr>
          <w:p w14:paraId="76ADA021" w14:textId="1F83E7F4" w:rsidR="00485972" w:rsidRPr="009A3FE8" w:rsidRDefault="00485972" w:rsidP="00485972">
            <w:pPr>
              <w:spacing w:after="0" w:line="240" w:lineRule="auto"/>
              <w:rPr>
                <w:rFonts w:ascii="Calibri" w:eastAsia="Times New Roman" w:hAnsi="Calibri" w:cs="Calibri"/>
                <w:b/>
                <w:bCs/>
                <w:sz w:val="17"/>
                <w:szCs w:val="17"/>
              </w:rPr>
            </w:pPr>
            <w:r>
              <w:rPr>
                <w:rFonts w:ascii="Calibri" w:eastAsia="Times New Roman" w:hAnsi="Calibri" w:cs="Calibri"/>
                <w:b/>
                <w:bCs/>
                <w:sz w:val="17"/>
                <w:szCs w:val="17"/>
              </w:rPr>
              <w:t>Single man with individuals under 25</w:t>
            </w:r>
          </w:p>
        </w:tc>
        <w:tc>
          <w:tcPr>
            <w:tcW w:w="258" w:type="dxa"/>
            <w:tcBorders>
              <w:top w:val="nil"/>
              <w:left w:val="nil"/>
              <w:bottom w:val="nil"/>
              <w:right w:val="nil"/>
            </w:tcBorders>
            <w:noWrap/>
            <w:vAlign w:val="bottom"/>
            <w:hideMark/>
          </w:tcPr>
          <w:p w14:paraId="7DE50560" w14:textId="77777777" w:rsidR="00485972" w:rsidRPr="009A3FE8" w:rsidRDefault="00485972" w:rsidP="00485972">
            <w:pPr>
              <w:spacing w:after="0" w:line="240" w:lineRule="auto"/>
              <w:rPr>
                <w:rFonts w:ascii="Calibri" w:eastAsia="Times New Roman" w:hAnsi="Calibri" w:cs="Calibri"/>
                <w:b/>
                <w:bCs/>
                <w:sz w:val="17"/>
                <w:szCs w:val="17"/>
              </w:rPr>
            </w:pPr>
          </w:p>
        </w:tc>
        <w:tc>
          <w:tcPr>
            <w:tcW w:w="735" w:type="dxa"/>
            <w:tcBorders>
              <w:top w:val="nil"/>
              <w:left w:val="nil"/>
              <w:bottom w:val="nil"/>
              <w:right w:val="nil"/>
            </w:tcBorders>
            <w:noWrap/>
            <w:vAlign w:val="bottom"/>
            <w:hideMark/>
          </w:tcPr>
          <w:p w14:paraId="560C2996" w14:textId="4812E213"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5%</w:t>
            </w:r>
          </w:p>
        </w:tc>
        <w:tc>
          <w:tcPr>
            <w:tcW w:w="817" w:type="dxa"/>
            <w:tcBorders>
              <w:top w:val="nil"/>
              <w:left w:val="nil"/>
              <w:bottom w:val="nil"/>
              <w:right w:val="nil"/>
            </w:tcBorders>
            <w:noWrap/>
            <w:vAlign w:val="bottom"/>
            <w:hideMark/>
          </w:tcPr>
          <w:p w14:paraId="2BA4471F" w14:textId="6AEABBB3"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4%</w:t>
            </w:r>
          </w:p>
        </w:tc>
        <w:tc>
          <w:tcPr>
            <w:tcW w:w="258" w:type="dxa"/>
            <w:tcBorders>
              <w:top w:val="nil"/>
              <w:left w:val="nil"/>
              <w:bottom w:val="nil"/>
              <w:right w:val="nil"/>
            </w:tcBorders>
            <w:noWrap/>
            <w:vAlign w:val="bottom"/>
            <w:hideMark/>
          </w:tcPr>
          <w:p w14:paraId="58492BC1" w14:textId="77777777" w:rsidR="00485972" w:rsidRPr="009A3FE8" w:rsidRDefault="00485972" w:rsidP="00485972">
            <w:pPr>
              <w:spacing w:after="0" w:line="240" w:lineRule="auto"/>
              <w:jc w:val="center"/>
              <w:rPr>
                <w:rFonts w:ascii="Calibri" w:eastAsia="Times New Roman" w:hAnsi="Calibri" w:cs="Calibri"/>
                <w:sz w:val="17"/>
                <w:szCs w:val="17"/>
              </w:rPr>
            </w:pPr>
          </w:p>
        </w:tc>
        <w:tc>
          <w:tcPr>
            <w:tcW w:w="763" w:type="dxa"/>
            <w:tcBorders>
              <w:top w:val="nil"/>
              <w:left w:val="nil"/>
              <w:bottom w:val="nil"/>
              <w:right w:val="nil"/>
            </w:tcBorders>
            <w:noWrap/>
            <w:vAlign w:val="bottom"/>
            <w:hideMark/>
          </w:tcPr>
          <w:p w14:paraId="0A206D7F" w14:textId="24694CB3"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2%</w:t>
            </w:r>
          </w:p>
        </w:tc>
        <w:tc>
          <w:tcPr>
            <w:tcW w:w="258" w:type="dxa"/>
            <w:tcBorders>
              <w:top w:val="nil"/>
              <w:left w:val="nil"/>
              <w:bottom w:val="nil"/>
              <w:right w:val="nil"/>
            </w:tcBorders>
            <w:noWrap/>
            <w:vAlign w:val="bottom"/>
            <w:hideMark/>
          </w:tcPr>
          <w:p w14:paraId="19156792" w14:textId="77777777" w:rsidR="00485972" w:rsidRPr="009A3FE8" w:rsidRDefault="00485972" w:rsidP="00485972">
            <w:pPr>
              <w:spacing w:after="0" w:line="240" w:lineRule="auto"/>
              <w:jc w:val="center"/>
              <w:rPr>
                <w:rFonts w:ascii="Calibri" w:eastAsia="Times New Roman" w:hAnsi="Calibri" w:cs="Calibri"/>
                <w:sz w:val="17"/>
                <w:szCs w:val="17"/>
              </w:rPr>
            </w:pPr>
          </w:p>
        </w:tc>
        <w:tc>
          <w:tcPr>
            <w:tcW w:w="763" w:type="dxa"/>
            <w:tcBorders>
              <w:top w:val="nil"/>
              <w:left w:val="nil"/>
              <w:bottom w:val="nil"/>
              <w:right w:val="nil"/>
            </w:tcBorders>
            <w:noWrap/>
            <w:vAlign w:val="bottom"/>
            <w:hideMark/>
          </w:tcPr>
          <w:p w14:paraId="65331BFC" w14:textId="5F4513BB"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78%</w:t>
            </w:r>
          </w:p>
        </w:tc>
        <w:tc>
          <w:tcPr>
            <w:tcW w:w="258" w:type="dxa"/>
            <w:tcBorders>
              <w:top w:val="nil"/>
              <w:left w:val="nil"/>
              <w:bottom w:val="nil"/>
              <w:right w:val="nil"/>
            </w:tcBorders>
            <w:noWrap/>
            <w:vAlign w:val="bottom"/>
            <w:hideMark/>
          </w:tcPr>
          <w:p w14:paraId="74C58B7A" w14:textId="77777777" w:rsidR="00485972" w:rsidRPr="009A3FE8" w:rsidRDefault="00485972" w:rsidP="00485972">
            <w:pPr>
              <w:spacing w:after="0" w:line="240" w:lineRule="auto"/>
              <w:jc w:val="center"/>
              <w:rPr>
                <w:rFonts w:ascii="Calibri" w:eastAsia="Times New Roman" w:hAnsi="Calibri" w:cs="Calibri"/>
                <w:sz w:val="17"/>
                <w:szCs w:val="17"/>
              </w:rPr>
            </w:pPr>
          </w:p>
        </w:tc>
        <w:tc>
          <w:tcPr>
            <w:tcW w:w="1007" w:type="dxa"/>
            <w:tcBorders>
              <w:top w:val="nil"/>
              <w:left w:val="nil"/>
              <w:bottom w:val="nil"/>
              <w:right w:val="nil"/>
            </w:tcBorders>
            <w:noWrap/>
            <w:vAlign w:val="bottom"/>
            <w:hideMark/>
          </w:tcPr>
          <w:p w14:paraId="5984CDF7" w14:textId="056B9411"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1%</w:t>
            </w:r>
          </w:p>
        </w:tc>
        <w:tc>
          <w:tcPr>
            <w:tcW w:w="1007" w:type="dxa"/>
            <w:tcBorders>
              <w:top w:val="nil"/>
              <w:left w:val="nil"/>
              <w:bottom w:val="nil"/>
              <w:right w:val="nil"/>
            </w:tcBorders>
            <w:noWrap/>
            <w:vAlign w:val="bottom"/>
            <w:hideMark/>
          </w:tcPr>
          <w:p w14:paraId="56DE664E" w14:textId="4F48D25F"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9%</w:t>
            </w:r>
          </w:p>
        </w:tc>
        <w:tc>
          <w:tcPr>
            <w:tcW w:w="766" w:type="dxa"/>
            <w:tcBorders>
              <w:top w:val="nil"/>
              <w:left w:val="nil"/>
              <w:bottom w:val="nil"/>
              <w:right w:val="nil"/>
            </w:tcBorders>
            <w:noWrap/>
            <w:vAlign w:val="bottom"/>
            <w:hideMark/>
          </w:tcPr>
          <w:p w14:paraId="2D07958E" w14:textId="29FEF349"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1%</w:t>
            </w:r>
          </w:p>
        </w:tc>
        <w:tc>
          <w:tcPr>
            <w:tcW w:w="258" w:type="dxa"/>
            <w:gridSpan w:val="2"/>
            <w:tcBorders>
              <w:top w:val="nil"/>
              <w:left w:val="nil"/>
              <w:bottom w:val="nil"/>
              <w:right w:val="nil"/>
            </w:tcBorders>
            <w:noWrap/>
            <w:vAlign w:val="bottom"/>
            <w:hideMark/>
          </w:tcPr>
          <w:p w14:paraId="17012C8C" w14:textId="77777777" w:rsidR="00485972" w:rsidRPr="009A3FE8" w:rsidRDefault="00485972" w:rsidP="00485972">
            <w:pPr>
              <w:spacing w:after="0" w:line="240" w:lineRule="auto"/>
              <w:jc w:val="center"/>
              <w:rPr>
                <w:rFonts w:ascii="Calibri" w:eastAsia="Times New Roman" w:hAnsi="Calibri" w:cs="Calibri"/>
                <w:sz w:val="17"/>
                <w:szCs w:val="17"/>
              </w:rPr>
            </w:pPr>
          </w:p>
        </w:tc>
        <w:tc>
          <w:tcPr>
            <w:tcW w:w="606" w:type="dxa"/>
            <w:gridSpan w:val="2"/>
            <w:tcBorders>
              <w:top w:val="nil"/>
              <w:left w:val="nil"/>
              <w:bottom w:val="nil"/>
              <w:right w:val="nil"/>
            </w:tcBorders>
            <w:noWrap/>
            <w:vAlign w:val="bottom"/>
            <w:hideMark/>
          </w:tcPr>
          <w:p w14:paraId="2316C709" w14:textId="77777777" w:rsidR="00485972" w:rsidRPr="009A3FE8" w:rsidRDefault="00485972" w:rsidP="00485972">
            <w:pPr>
              <w:spacing w:after="0" w:line="240" w:lineRule="auto"/>
              <w:jc w:val="center"/>
              <w:rPr>
                <w:rFonts w:ascii="Calibri" w:eastAsia="Times New Roman" w:hAnsi="Calibri" w:cs="Calibri"/>
                <w:sz w:val="17"/>
                <w:szCs w:val="17"/>
              </w:rPr>
            </w:pPr>
            <w:r w:rsidRPr="009A3FE8">
              <w:rPr>
                <w:rFonts w:ascii="Calibri" w:eastAsia="Times New Roman" w:hAnsi="Calibri" w:cs="Calibri"/>
                <w:sz w:val="17"/>
                <w:szCs w:val="17"/>
              </w:rPr>
              <w:t>100%</w:t>
            </w:r>
          </w:p>
        </w:tc>
      </w:tr>
      <w:tr w:rsidR="00485972" w:rsidRPr="006743D6" w14:paraId="41D62656" w14:textId="77777777" w:rsidTr="00A80414">
        <w:trPr>
          <w:gridAfter w:val="1"/>
          <w:wAfter w:w="6" w:type="dxa"/>
          <w:trHeight w:val="255"/>
          <w:jc w:val="center"/>
        </w:trPr>
        <w:tc>
          <w:tcPr>
            <w:tcW w:w="565" w:type="dxa"/>
            <w:vMerge/>
            <w:tcBorders>
              <w:top w:val="nil"/>
              <w:left w:val="nil"/>
              <w:bottom w:val="nil"/>
              <w:right w:val="nil"/>
            </w:tcBorders>
            <w:vAlign w:val="center"/>
            <w:hideMark/>
          </w:tcPr>
          <w:p w14:paraId="5DE43485" w14:textId="77777777" w:rsidR="00485972" w:rsidRPr="009A3FE8" w:rsidRDefault="00485972" w:rsidP="00485972">
            <w:pPr>
              <w:spacing w:after="0" w:line="240" w:lineRule="auto"/>
              <w:rPr>
                <w:rFonts w:ascii="Calibri" w:eastAsia="Times New Roman" w:hAnsi="Calibri" w:cs="Calibri"/>
                <w:b/>
                <w:bCs/>
                <w:color w:val="000000"/>
                <w:sz w:val="17"/>
                <w:szCs w:val="17"/>
              </w:rPr>
            </w:pPr>
          </w:p>
        </w:tc>
        <w:tc>
          <w:tcPr>
            <w:tcW w:w="3039" w:type="dxa"/>
            <w:tcBorders>
              <w:top w:val="nil"/>
              <w:left w:val="nil"/>
              <w:bottom w:val="nil"/>
              <w:right w:val="nil"/>
            </w:tcBorders>
            <w:shd w:val="clear" w:color="000000" w:fill="D9E1F2"/>
            <w:noWrap/>
            <w:vAlign w:val="center"/>
            <w:hideMark/>
          </w:tcPr>
          <w:p w14:paraId="16BFBCF1" w14:textId="74F685A6" w:rsidR="00485972" w:rsidRPr="009A3FE8" w:rsidRDefault="00485972" w:rsidP="00485972">
            <w:pPr>
              <w:spacing w:after="0" w:line="240" w:lineRule="auto"/>
              <w:rPr>
                <w:rFonts w:ascii="Calibri" w:eastAsia="Times New Roman" w:hAnsi="Calibri" w:cs="Calibri"/>
                <w:b/>
                <w:bCs/>
                <w:sz w:val="17"/>
                <w:szCs w:val="17"/>
              </w:rPr>
            </w:pPr>
            <w:r>
              <w:rPr>
                <w:rFonts w:ascii="Calibri" w:eastAsia="Times New Roman" w:hAnsi="Calibri" w:cs="Calibri"/>
                <w:b/>
                <w:bCs/>
                <w:sz w:val="17"/>
                <w:szCs w:val="17"/>
              </w:rPr>
              <w:t>Couple without individuals under 25</w:t>
            </w:r>
          </w:p>
        </w:tc>
        <w:tc>
          <w:tcPr>
            <w:tcW w:w="258" w:type="dxa"/>
            <w:tcBorders>
              <w:top w:val="nil"/>
              <w:left w:val="nil"/>
              <w:bottom w:val="nil"/>
              <w:right w:val="nil"/>
            </w:tcBorders>
            <w:shd w:val="clear" w:color="000000" w:fill="D9E1F2"/>
            <w:noWrap/>
            <w:vAlign w:val="bottom"/>
            <w:hideMark/>
          </w:tcPr>
          <w:p w14:paraId="54C02F3C" w14:textId="289451F5" w:rsidR="00485972" w:rsidRPr="009A3FE8" w:rsidRDefault="00485972" w:rsidP="00485972">
            <w:pPr>
              <w:spacing w:after="0" w:line="240" w:lineRule="auto"/>
              <w:rPr>
                <w:rFonts w:ascii="Calibri" w:eastAsia="Times New Roman" w:hAnsi="Calibri" w:cs="Calibri"/>
                <w:b/>
                <w:bCs/>
                <w:sz w:val="17"/>
                <w:szCs w:val="17"/>
              </w:rPr>
            </w:pPr>
            <w:r>
              <w:rPr>
                <w:rFonts w:ascii="Calibri" w:eastAsia="Times New Roman" w:hAnsi="Calibri" w:cs="Calibri"/>
                <w:b/>
                <w:bCs/>
                <w:sz w:val="17"/>
                <w:szCs w:val="17"/>
              </w:rPr>
              <w:t> </w:t>
            </w:r>
          </w:p>
        </w:tc>
        <w:tc>
          <w:tcPr>
            <w:tcW w:w="735" w:type="dxa"/>
            <w:tcBorders>
              <w:top w:val="nil"/>
              <w:left w:val="nil"/>
              <w:bottom w:val="nil"/>
              <w:right w:val="nil"/>
            </w:tcBorders>
            <w:shd w:val="clear" w:color="000000" w:fill="D9E1F2"/>
            <w:noWrap/>
            <w:vAlign w:val="bottom"/>
            <w:hideMark/>
          </w:tcPr>
          <w:p w14:paraId="6BE0E7C9" w14:textId="1FFD999B"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35%</w:t>
            </w:r>
          </w:p>
        </w:tc>
        <w:tc>
          <w:tcPr>
            <w:tcW w:w="817" w:type="dxa"/>
            <w:tcBorders>
              <w:top w:val="nil"/>
              <w:left w:val="nil"/>
              <w:bottom w:val="nil"/>
              <w:right w:val="nil"/>
            </w:tcBorders>
            <w:shd w:val="clear" w:color="000000" w:fill="D9E1F2"/>
            <w:noWrap/>
            <w:vAlign w:val="bottom"/>
            <w:hideMark/>
          </w:tcPr>
          <w:p w14:paraId="2E2905CD" w14:textId="4B304DED"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1%</w:t>
            </w:r>
          </w:p>
        </w:tc>
        <w:tc>
          <w:tcPr>
            <w:tcW w:w="258" w:type="dxa"/>
            <w:tcBorders>
              <w:top w:val="nil"/>
              <w:left w:val="nil"/>
              <w:bottom w:val="nil"/>
              <w:right w:val="nil"/>
            </w:tcBorders>
            <w:shd w:val="clear" w:color="000000" w:fill="D9E1F2"/>
            <w:noWrap/>
            <w:vAlign w:val="bottom"/>
            <w:hideMark/>
          </w:tcPr>
          <w:p w14:paraId="76D06602" w14:textId="172A4A6D" w:rsidR="00485972" w:rsidRPr="009A3FE8" w:rsidRDefault="00485972" w:rsidP="00485972">
            <w:pPr>
              <w:spacing w:after="0" w:line="240" w:lineRule="auto"/>
              <w:jc w:val="center"/>
              <w:rPr>
                <w:rFonts w:ascii="Calibri" w:eastAsia="Times New Roman" w:hAnsi="Calibri" w:cs="Calibri"/>
                <w:sz w:val="17"/>
                <w:szCs w:val="17"/>
              </w:rPr>
            </w:pPr>
          </w:p>
        </w:tc>
        <w:tc>
          <w:tcPr>
            <w:tcW w:w="763" w:type="dxa"/>
            <w:tcBorders>
              <w:top w:val="nil"/>
              <w:left w:val="nil"/>
              <w:bottom w:val="nil"/>
              <w:right w:val="nil"/>
            </w:tcBorders>
            <w:shd w:val="clear" w:color="000000" w:fill="D9E1F2"/>
            <w:noWrap/>
            <w:vAlign w:val="bottom"/>
            <w:hideMark/>
          </w:tcPr>
          <w:p w14:paraId="33E64114" w14:textId="6562EB92"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8%</w:t>
            </w:r>
          </w:p>
        </w:tc>
        <w:tc>
          <w:tcPr>
            <w:tcW w:w="258" w:type="dxa"/>
            <w:tcBorders>
              <w:top w:val="nil"/>
              <w:left w:val="nil"/>
              <w:bottom w:val="nil"/>
              <w:right w:val="nil"/>
            </w:tcBorders>
            <w:shd w:val="clear" w:color="000000" w:fill="D9E1F2"/>
            <w:noWrap/>
            <w:vAlign w:val="bottom"/>
            <w:hideMark/>
          </w:tcPr>
          <w:p w14:paraId="235B7AE7" w14:textId="1EF41C6E" w:rsidR="00485972" w:rsidRPr="009A3FE8" w:rsidRDefault="00485972" w:rsidP="00485972">
            <w:pPr>
              <w:spacing w:after="0" w:line="240" w:lineRule="auto"/>
              <w:jc w:val="center"/>
              <w:rPr>
                <w:rFonts w:ascii="Calibri" w:eastAsia="Times New Roman" w:hAnsi="Calibri" w:cs="Calibri"/>
                <w:sz w:val="17"/>
                <w:szCs w:val="17"/>
              </w:rPr>
            </w:pPr>
          </w:p>
        </w:tc>
        <w:tc>
          <w:tcPr>
            <w:tcW w:w="763" w:type="dxa"/>
            <w:tcBorders>
              <w:top w:val="nil"/>
              <w:left w:val="nil"/>
              <w:bottom w:val="nil"/>
              <w:right w:val="nil"/>
            </w:tcBorders>
            <w:shd w:val="clear" w:color="000000" w:fill="D9E1F2"/>
            <w:noWrap/>
            <w:vAlign w:val="bottom"/>
            <w:hideMark/>
          </w:tcPr>
          <w:p w14:paraId="0786B335" w14:textId="33D10BD1"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20%</w:t>
            </w:r>
          </w:p>
        </w:tc>
        <w:tc>
          <w:tcPr>
            <w:tcW w:w="258" w:type="dxa"/>
            <w:tcBorders>
              <w:top w:val="nil"/>
              <w:left w:val="nil"/>
              <w:bottom w:val="nil"/>
              <w:right w:val="nil"/>
            </w:tcBorders>
            <w:shd w:val="clear" w:color="000000" w:fill="D9E1F2"/>
            <w:noWrap/>
            <w:vAlign w:val="bottom"/>
            <w:hideMark/>
          </w:tcPr>
          <w:p w14:paraId="5595B013" w14:textId="75BF2BE3" w:rsidR="00485972" w:rsidRPr="009A3FE8" w:rsidRDefault="00485972" w:rsidP="00485972">
            <w:pPr>
              <w:spacing w:after="0" w:line="240" w:lineRule="auto"/>
              <w:jc w:val="center"/>
              <w:rPr>
                <w:rFonts w:ascii="Calibri" w:eastAsia="Times New Roman" w:hAnsi="Calibri" w:cs="Calibri"/>
                <w:sz w:val="17"/>
                <w:szCs w:val="17"/>
              </w:rPr>
            </w:pPr>
          </w:p>
        </w:tc>
        <w:tc>
          <w:tcPr>
            <w:tcW w:w="1007" w:type="dxa"/>
            <w:tcBorders>
              <w:top w:val="nil"/>
              <w:left w:val="nil"/>
              <w:bottom w:val="nil"/>
              <w:right w:val="nil"/>
            </w:tcBorders>
            <w:shd w:val="clear" w:color="000000" w:fill="D9E1F2"/>
            <w:noWrap/>
            <w:vAlign w:val="bottom"/>
            <w:hideMark/>
          </w:tcPr>
          <w:p w14:paraId="6A90AF1A" w14:textId="1DDC0934"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9%</w:t>
            </w:r>
          </w:p>
        </w:tc>
        <w:tc>
          <w:tcPr>
            <w:tcW w:w="1007" w:type="dxa"/>
            <w:tcBorders>
              <w:top w:val="nil"/>
              <w:left w:val="nil"/>
              <w:bottom w:val="nil"/>
              <w:right w:val="nil"/>
            </w:tcBorders>
            <w:shd w:val="clear" w:color="000000" w:fill="D9E1F2"/>
            <w:noWrap/>
            <w:vAlign w:val="bottom"/>
            <w:hideMark/>
          </w:tcPr>
          <w:p w14:paraId="4B9A6F5B" w14:textId="17CE1D24"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19%</w:t>
            </w:r>
          </w:p>
        </w:tc>
        <w:tc>
          <w:tcPr>
            <w:tcW w:w="766" w:type="dxa"/>
            <w:tcBorders>
              <w:top w:val="nil"/>
              <w:left w:val="nil"/>
              <w:bottom w:val="nil"/>
              <w:right w:val="nil"/>
            </w:tcBorders>
            <w:shd w:val="clear" w:color="000000" w:fill="D9E1F2"/>
            <w:noWrap/>
            <w:vAlign w:val="bottom"/>
            <w:hideMark/>
          </w:tcPr>
          <w:p w14:paraId="7EAEDA02" w14:textId="22E98F13"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8%</w:t>
            </w:r>
          </w:p>
        </w:tc>
        <w:tc>
          <w:tcPr>
            <w:tcW w:w="258" w:type="dxa"/>
            <w:gridSpan w:val="2"/>
            <w:tcBorders>
              <w:top w:val="nil"/>
              <w:left w:val="nil"/>
              <w:bottom w:val="nil"/>
              <w:right w:val="nil"/>
            </w:tcBorders>
            <w:shd w:val="clear" w:color="000000" w:fill="D9E1F2"/>
            <w:noWrap/>
            <w:vAlign w:val="bottom"/>
            <w:hideMark/>
          </w:tcPr>
          <w:p w14:paraId="14EE8AC5" w14:textId="77777777" w:rsidR="00485972" w:rsidRPr="009A3FE8" w:rsidRDefault="00485972" w:rsidP="00485972">
            <w:pPr>
              <w:spacing w:after="0" w:line="240" w:lineRule="auto"/>
              <w:jc w:val="center"/>
              <w:rPr>
                <w:rFonts w:ascii="Calibri" w:eastAsia="Times New Roman" w:hAnsi="Calibri" w:cs="Calibri"/>
                <w:sz w:val="17"/>
                <w:szCs w:val="17"/>
              </w:rPr>
            </w:pPr>
            <w:r w:rsidRPr="009A3FE8">
              <w:rPr>
                <w:rFonts w:ascii="Calibri" w:eastAsia="Times New Roman" w:hAnsi="Calibri" w:cs="Calibri"/>
                <w:sz w:val="17"/>
                <w:szCs w:val="17"/>
              </w:rPr>
              <w:t> </w:t>
            </w:r>
          </w:p>
        </w:tc>
        <w:tc>
          <w:tcPr>
            <w:tcW w:w="606" w:type="dxa"/>
            <w:gridSpan w:val="2"/>
            <w:tcBorders>
              <w:top w:val="nil"/>
              <w:left w:val="nil"/>
              <w:bottom w:val="nil"/>
              <w:right w:val="nil"/>
            </w:tcBorders>
            <w:shd w:val="clear" w:color="000000" w:fill="FFFFFF"/>
            <w:noWrap/>
            <w:vAlign w:val="bottom"/>
            <w:hideMark/>
          </w:tcPr>
          <w:p w14:paraId="1E4E6DC7" w14:textId="77777777" w:rsidR="00485972" w:rsidRPr="009A3FE8" w:rsidRDefault="00485972" w:rsidP="00485972">
            <w:pPr>
              <w:spacing w:after="0" w:line="240" w:lineRule="auto"/>
              <w:jc w:val="center"/>
              <w:rPr>
                <w:rFonts w:ascii="Calibri" w:eastAsia="Times New Roman" w:hAnsi="Calibri" w:cs="Calibri"/>
                <w:sz w:val="17"/>
                <w:szCs w:val="17"/>
              </w:rPr>
            </w:pPr>
            <w:r w:rsidRPr="009A3FE8">
              <w:rPr>
                <w:rFonts w:ascii="Calibri" w:eastAsia="Times New Roman" w:hAnsi="Calibri" w:cs="Calibri"/>
                <w:sz w:val="17"/>
                <w:szCs w:val="17"/>
              </w:rPr>
              <w:t>100%</w:t>
            </w:r>
          </w:p>
        </w:tc>
      </w:tr>
      <w:tr w:rsidR="00485972" w:rsidRPr="006743D6" w14:paraId="7BC7CEF7" w14:textId="77777777" w:rsidTr="00A80414">
        <w:trPr>
          <w:gridAfter w:val="1"/>
          <w:wAfter w:w="6" w:type="dxa"/>
          <w:trHeight w:val="255"/>
          <w:jc w:val="center"/>
        </w:trPr>
        <w:tc>
          <w:tcPr>
            <w:tcW w:w="565" w:type="dxa"/>
            <w:vMerge/>
            <w:tcBorders>
              <w:top w:val="nil"/>
              <w:left w:val="nil"/>
              <w:bottom w:val="nil"/>
              <w:right w:val="nil"/>
            </w:tcBorders>
            <w:vAlign w:val="center"/>
            <w:hideMark/>
          </w:tcPr>
          <w:p w14:paraId="4F89902D" w14:textId="77777777" w:rsidR="00485972" w:rsidRPr="009A3FE8" w:rsidRDefault="00485972" w:rsidP="00485972">
            <w:pPr>
              <w:spacing w:after="0" w:line="240" w:lineRule="auto"/>
              <w:rPr>
                <w:rFonts w:ascii="Calibri" w:eastAsia="Times New Roman" w:hAnsi="Calibri" w:cs="Calibri"/>
                <w:b/>
                <w:bCs/>
                <w:color w:val="000000"/>
                <w:sz w:val="17"/>
                <w:szCs w:val="17"/>
              </w:rPr>
            </w:pPr>
          </w:p>
        </w:tc>
        <w:tc>
          <w:tcPr>
            <w:tcW w:w="3039" w:type="dxa"/>
            <w:tcBorders>
              <w:top w:val="nil"/>
              <w:left w:val="nil"/>
              <w:bottom w:val="nil"/>
              <w:right w:val="nil"/>
            </w:tcBorders>
            <w:noWrap/>
            <w:vAlign w:val="center"/>
            <w:hideMark/>
          </w:tcPr>
          <w:p w14:paraId="6B6CED81" w14:textId="4A0440D0" w:rsidR="00485972" w:rsidRPr="009A3FE8" w:rsidRDefault="00485972" w:rsidP="00485972">
            <w:pPr>
              <w:spacing w:after="0" w:line="240" w:lineRule="auto"/>
              <w:rPr>
                <w:rFonts w:ascii="Calibri" w:eastAsia="Times New Roman" w:hAnsi="Calibri" w:cs="Calibri"/>
                <w:b/>
                <w:bCs/>
                <w:sz w:val="17"/>
                <w:szCs w:val="17"/>
              </w:rPr>
            </w:pPr>
            <w:r>
              <w:rPr>
                <w:rFonts w:ascii="Calibri" w:eastAsia="Times New Roman" w:hAnsi="Calibri" w:cs="Calibri"/>
                <w:b/>
                <w:bCs/>
                <w:sz w:val="17"/>
                <w:szCs w:val="17"/>
              </w:rPr>
              <w:t>Couple with individuals under 25</w:t>
            </w:r>
          </w:p>
        </w:tc>
        <w:tc>
          <w:tcPr>
            <w:tcW w:w="258" w:type="dxa"/>
            <w:tcBorders>
              <w:top w:val="nil"/>
              <w:left w:val="nil"/>
              <w:bottom w:val="nil"/>
              <w:right w:val="nil"/>
            </w:tcBorders>
            <w:noWrap/>
            <w:vAlign w:val="bottom"/>
            <w:hideMark/>
          </w:tcPr>
          <w:p w14:paraId="4CE061ED" w14:textId="77777777" w:rsidR="00485972" w:rsidRPr="009A3FE8" w:rsidRDefault="00485972" w:rsidP="00485972">
            <w:pPr>
              <w:spacing w:after="0" w:line="240" w:lineRule="auto"/>
              <w:rPr>
                <w:rFonts w:ascii="Calibri" w:eastAsia="Times New Roman" w:hAnsi="Calibri" w:cs="Calibri"/>
                <w:b/>
                <w:bCs/>
                <w:sz w:val="17"/>
                <w:szCs w:val="17"/>
              </w:rPr>
            </w:pPr>
          </w:p>
        </w:tc>
        <w:tc>
          <w:tcPr>
            <w:tcW w:w="735" w:type="dxa"/>
            <w:tcBorders>
              <w:top w:val="nil"/>
              <w:left w:val="nil"/>
              <w:bottom w:val="nil"/>
              <w:right w:val="nil"/>
            </w:tcBorders>
            <w:noWrap/>
            <w:vAlign w:val="bottom"/>
            <w:hideMark/>
          </w:tcPr>
          <w:p w14:paraId="5719A8DF" w14:textId="0265DDFE"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1%</w:t>
            </w:r>
          </w:p>
        </w:tc>
        <w:tc>
          <w:tcPr>
            <w:tcW w:w="817" w:type="dxa"/>
            <w:tcBorders>
              <w:top w:val="nil"/>
              <w:left w:val="nil"/>
              <w:bottom w:val="nil"/>
              <w:right w:val="nil"/>
            </w:tcBorders>
            <w:noWrap/>
            <w:vAlign w:val="bottom"/>
            <w:hideMark/>
          </w:tcPr>
          <w:p w14:paraId="0E7062CF" w14:textId="7DF23BF5"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1%</w:t>
            </w:r>
          </w:p>
        </w:tc>
        <w:tc>
          <w:tcPr>
            <w:tcW w:w="258" w:type="dxa"/>
            <w:tcBorders>
              <w:top w:val="nil"/>
              <w:left w:val="nil"/>
              <w:bottom w:val="nil"/>
              <w:right w:val="nil"/>
            </w:tcBorders>
            <w:noWrap/>
            <w:vAlign w:val="bottom"/>
            <w:hideMark/>
          </w:tcPr>
          <w:p w14:paraId="088B52FA" w14:textId="77777777" w:rsidR="00485972" w:rsidRPr="009A3FE8" w:rsidRDefault="00485972" w:rsidP="00485972">
            <w:pPr>
              <w:spacing w:after="0" w:line="240" w:lineRule="auto"/>
              <w:jc w:val="center"/>
              <w:rPr>
                <w:rFonts w:ascii="Calibri" w:eastAsia="Times New Roman" w:hAnsi="Calibri" w:cs="Calibri"/>
                <w:sz w:val="17"/>
                <w:szCs w:val="17"/>
              </w:rPr>
            </w:pPr>
          </w:p>
        </w:tc>
        <w:tc>
          <w:tcPr>
            <w:tcW w:w="763" w:type="dxa"/>
            <w:tcBorders>
              <w:top w:val="nil"/>
              <w:left w:val="nil"/>
              <w:bottom w:val="nil"/>
              <w:right w:val="nil"/>
            </w:tcBorders>
            <w:noWrap/>
            <w:vAlign w:val="bottom"/>
            <w:hideMark/>
          </w:tcPr>
          <w:p w14:paraId="63FB0800" w14:textId="1933466B"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4%</w:t>
            </w:r>
          </w:p>
        </w:tc>
        <w:tc>
          <w:tcPr>
            <w:tcW w:w="258" w:type="dxa"/>
            <w:tcBorders>
              <w:top w:val="nil"/>
              <w:left w:val="nil"/>
              <w:bottom w:val="nil"/>
              <w:right w:val="nil"/>
            </w:tcBorders>
            <w:noWrap/>
            <w:vAlign w:val="bottom"/>
            <w:hideMark/>
          </w:tcPr>
          <w:p w14:paraId="306ED745" w14:textId="77777777" w:rsidR="00485972" w:rsidRPr="009A3FE8" w:rsidRDefault="00485972" w:rsidP="00485972">
            <w:pPr>
              <w:spacing w:after="0" w:line="240" w:lineRule="auto"/>
              <w:jc w:val="center"/>
              <w:rPr>
                <w:rFonts w:ascii="Calibri" w:eastAsia="Times New Roman" w:hAnsi="Calibri" w:cs="Calibri"/>
                <w:sz w:val="17"/>
                <w:szCs w:val="17"/>
              </w:rPr>
            </w:pPr>
          </w:p>
        </w:tc>
        <w:tc>
          <w:tcPr>
            <w:tcW w:w="763" w:type="dxa"/>
            <w:tcBorders>
              <w:top w:val="nil"/>
              <w:left w:val="nil"/>
              <w:bottom w:val="nil"/>
              <w:right w:val="nil"/>
            </w:tcBorders>
            <w:noWrap/>
            <w:vAlign w:val="bottom"/>
            <w:hideMark/>
          </w:tcPr>
          <w:p w14:paraId="274541CB" w14:textId="16D284F7"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29%</w:t>
            </w:r>
          </w:p>
        </w:tc>
        <w:tc>
          <w:tcPr>
            <w:tcW w:w="258" w:type="dxa"/>
            <w:tcBorders>
              <w:top w:val="nil"/>
              <w:left w:val="nil"/>
              <w:bottom w:val="nil"/>
              <w:right w:val="nil"/>
            </w:tcBorders>
            <w:noWrap/>
            <w:vAlign w:val="bottom"/>
            <w:hideMark/>
          </w:tcPr>
          <w:p w14:paraId="26F9C66A" w14:textId="77777777" w:rsidR="00485972" w:rsidRPr="009A3FE8" w:rsidRDefault="00485972" w:rsidP="00485972">
            <w:pPr>
              <w:spacing w:after="0" w:line="240" w:lineRule="auto"/>
              <w:jc w:val="center"/>
              <w:rPr>
                <w:rFonts w:ascii="Calibri" w:eastAsia="Times New Roman" w:hAnsi="Calibri" w:cs="Calibri"/>
                <w:sz w:val="17"/>
                <w:szCs w:val="17"/>
              </w:rPr>
            </w:pPr>
          </w:p>
        </w:tc>
        <w:tc>
          <w:tcPr>
            <w:tcW w:w="1007" w:type="dxa"/>
            <w:tcBorders>
              <w:top w:val="nil"/>
              <w:left w:val="nil"/>
              <w:bottom w:val="nil"/>
              <w:right w:val="nil"/>
            </w:tcBorders>
            <w:noWrap/>
            <w:vAlign w:val="bottom"/>
            <w:hideMark/>
          </w:tcPr>
          <w:p w14:paraId="573D96CA" w14:textId="2EE3CF3F"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14%</w:t>
            </w:r>
          </w:p>
        </w:tc>
        <w:tc>
          <w:tcPr>
            <w:tcW w:w="1007" w:type="dxa"/>
            <w:tcBorders>
              <w:top w:val="nil"/>
              <w:left w:val="nil"/>
              <w:bottom w:val="nil"/>
              <w:right w:val="nil"/>
            </w:tcBorders>
            <w:noWrap/>
            <w:vAlign w:val="bottom"/>
            <w:hideMark/>
          </w:tcPr>
          <w:p w14:paraId="70CEABC1" w14:textId="333BB6C0"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39%</w:t>
            </w:r>
          </w:p>
        </w:tc>
        <w:tc>
          <w:tcPr>
            <w:tcW w:w="766" w:type="dxa"/>
            <w:tcBorders>
              <w:top w:val="nil"/>
              <w:left w:val="nil"/>
              <w:bottom w:val="nil"/>
              <w:right w:val="nil"/>
            </w:tcBorders>
            <w:noWrap/>
            <w:vAlign w:val="bottom"/>
            <w:hideMark/>
          </w:tcPr>
          <w:p w14:paraId="43A00C4A" w14:textId="40A05594"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12%</w:t>
            </w:r>
          </w:p>
        </w:tc>
        <w:tc>
          <w:tcPr>
            <w:tcW w:w="258" w:type="dxa"/>
            <w:gridSpan w:val="2"/>
            <w:tcBorders>
              <w:top w:val="nil"/>
              <w:left w:val="nil"/>
              <w:bottom w:val="nil"/>
              <w:right w:val="nil"/>
            </w:tcBorders>
            <w:noWrap/>
            <w:vAlign w:val="bottom"/>
            <w:hideMark/>
          </w:tcPr>
          <w:p w14:paraId="6E04526A" w14:textId="77777777" w:rsidR="00485972" w:rsidRPr="009A3FE8" w:rsidRDefault="00485972" w:rsidP="00485972">
            <w:pPr>
              <w:spacing w:after="0" w:line="240" w:lineRule="auto"/>
              <w:jc w:val="center"/>
              <w:rPr>
                <w:rFonts w:ascii="Calibri" w:eastAsia="Times New Roman" w:hAnsi="Calibri" w:cs="Calibri"/>
                <w:sz w:val="17"/>
                <w:szCs w:val="17"/>
              </w:rPr>
            </w:pPr>
          </w:p>
        </w:tc>
        <w:tc>
          <w:tcPr>
            <w:tcW w:w="606" w:type="dxa"/>
            <w:gridSpan w:val="2"/>
            <w:tcBorders>
              <w:top w:val="nil"/>
              <w:left w:val="nil"/>
              <w:bottom w:val="nil"/>
              <w:right w:val="nil"/>
            </w:tcBorders>
            <w:noWrap/>
            <w:vAlign w:val="bottom"/>
            <w:hideMark/>
          </w:tcPr>
          <w:p w14:paraId="36DA9D0D" w14:textId="77777777" w:rsidR="00485972" w:rsidRPr="009A3FE8" w:rsidRDefault="00485972" w:rsidP="00485972">
            <w:pPr>
              <w:spacing w:after="0" w:line="240" w:lineRule="auto"/>
              <w:jc w:val="center"/>
              <w:rPr>
                <w:rFonts w:ascii="Calibri" w:eastAsia="Times New Roman" w:hAnsi="Calibri" w:cs="Calibri"/>
                <w:sz w:val="17"/>
                <w:szCs w:val="17"/>
              </w:rPr>
            </w:pPr>
            <w:r w:rsidRPr="009A3FE8">
              <w:rPr>
                <w:rFonts w:ascii="Calibri" w:eastAsia="Times New Roman" w:hAnsi="Calibri" w:cs="Calibri"/>
                <w:sz w:val="17"/>
                <w:szCs w:val="17"/>
              </w:rPr>
              <w:t>100%</w:t>
            </w:r>
          </w:p>
        </w:tc>
      </w:tr>
      <w:tr w:rsidR="00485972" w:rsidRPr="006743D6" w14:paraId="3B6D73D0" w14:textId="77777777" w:rsidTr="00A80414">
        <w:trPr>
          <w:gridAfter w:val="1"/>
          <w:wAfter w:w="6" w:type="dxa"/>
          <w:trHeight w:val="255"/>
          <w:jc w:val="center"/>
        </w:trPr>
        <w:tc>
          <w:tcPr>
            <w:tcW w:w="565" w:type="dxa"/>
            <w:vMerge/>
            <w:tcBorders>
              <w:top w:val="nil"/>
              <w:left w:val="nil"/>
              <w:bottom w:val="nil"/>
              <w:right w:val="nil"/>
            </w:tcBorders>
            <w:vAlign w:val="center"/>
            <w:hideMark/>
          </w:tcPr>
          <w:p w14:paraId="3B5BD25E" w14:textId="77777777" w:rsidR="00485972" w:rsidRPr="009A3FE8" w:rsidRDefault="00485972" w:rsidP="00485972">
            <w:pPr>
              <w:spacing w:after="0" w:line="240" w:lineRule="auto"/>
              <w:rPr>
                <w:rFonts w:ascii="Calibri" w:eastAsia="Times New Roman" w:hAnsi="Calibri" w:cs="Calibri"/>
                <w:b/>
                <w:bCs/>
                <w:color w:val="000000"/>
                <w:sz w:val="17"/>
                <w:szCs w:val="17"/>
              </w:rPr>
            </w:pPr>
          </w:p>
        </w:tc>
        <w:tc>
          <w:tcPr>
            <w:tcW w:w="3039" w:type="dxa"/>
            <w:tcBorders>
              <w:top w:val="nil"/>
              <w:left w:val="nil"/>
              <w:bottom w:val="nil"/>
              <w:right w:val="nil"/>
            </w:tcBorders>
            <w:shd w:val="clear" w:color="000000" w:fill="D9E1F2"/>
            <w:noWrap/>
            <w:vAlign w:val="center"/>
            <w:hideMark/>
          </w:tcPr>
          <w:p w14:paraId="4CA224B5" w14:textId="31D050E1" w:rsidR="00485972" w:rsidRPr="009A3FE8" w:rsidRDefault="00485972" w:rsidP="00485972">
            <w:pPr>
              <w:spacing w:after="0" w:line="240" w:lineRule="auto"/>
              <w:rPr>
                <w:rFonts w:ascii="Calibri" w:eastAsia="Times New Roman" w:hAnsi="Calibri" w:cs="Calibri"/>
                <w:b/>
                <w:bCs/>
                <w:sz w:val="17"/>
                <w:szCs w:val="17"/>
              </w:rPr>
            </w:pPr>
            <w:r>
              <w:rPr>
                <w:rFonts w:ascii="Calibri" w:eastAsia="Times New Roman" w:hAnsi="Calibri" w:cs="Calibri"/>
                <w:b/>
                <w:bCs/>
                <w:sz w:val="17"/>
                <w:szCs w:val="17"/>
              </w:rPr>
              <w:t>Extended, without individuals under 25</w:t>
            </w:r>
          </w:p>
        </w:tc>
        <w:tc>
          <w:tcPr>
            <w:tcW w:w="258" w:type="dxa"/>
            <w:tcBorders>
              <w:top w:val="nil"/>
              <w:left w:val="nil"/>
              <w:bottom w:val="nil"/>
              <w:right w:val="nil"/>
            </w:tcBorders>
            <w:shd w:val="clear" w:color="000000" w:fill="D9E1F2"/>
            <w:noWrap/>
            <w:vAlign w:val="bottom"/>
            <w:hideMark/>
          </w:tcPr>
          <w:p w14:paraId="03671551" w14:textId="78CE637E" w:rsidR="00485972" w:rsidRPr="009A3FE8" w:rsidRDefault="00485972" w:rsidP="00485972">
            <w:pPr>
              <w:spacing w:after="0" w:line="240" w:lineRule="auto"/>
              <w:rPr>
                <w:rFonts w:ascii="Calibri" w:eastAsia="Times New Roman" w:hAnsi="Calibri" w:cs="Calibri"/>
                <w:b/>
                <w:bCs/>
                <w:sz w:val="17"/>
                <w:szCs w:val="17"/>
              </w:rPr>
            </w:pPr>
            <w:r>
              <w:rPr>
                <w:rFonts w:ascii="Calibri" w:eastAsia="Times New Roman" w:hAnsi="Calibri" w:cs="Calibri"/>
                <w:b/>
                <w:bCs/>
                <w:sz w:val="17"/>
                <w:szCs w:val="17"/>
              </w:rPr>
              <w:t> </w:t>
            </w:r>
          </w:p>
        </w:tc>
        <w:tc>
          <w:tcPr>
            <w:tcW w:w="735" w:type="dxa"/>
            <w:tcBorders>
              <w:top w:val="nil"/>
              <w:left w:val="nil"/>
              <w:bottom w:val="nil"/>
              <w:right w:val="nil"/>
            </w:tcBorders>
            <w:shd w:val="clear" w:color="000000" w:fill="D9E1F2"/>
            <w:noWrap/>
            <w:vAlign w:val="bottom"/>
            <w:hideMark/>
          </w:tcPr>
          <w:p w14:paraId="24A96492" w14:textId="44086655"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18%</w:t>
            </w:r>
          </w:p>
        </w:tc>
        <w:tc>
          <w:tcPr>
            <w:tcW w:w="817" w:type="dxa"/>
            <w:tcBorders>
              <w:top w:val="nil"/>
              <w:left w:val="nil"/>
              <w:bottom w:val="nil"/>
              <w:right w:val="nil"/>
            </w:tcBorders>
            <w:shd w:val="clear" w:color="000000" w:fill="D9E1F2"/>
            <w:noWrap/>
            <w:vAlign w:val="bottom"/>
            <w:hideMark/>
          </w:tcPr>
          <w:p w14:paraId="11840BF6" w14:textId="74F4B72A"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1%</w:t>
            </w:r>
          </w:p>
        </w:tc>
        <w:tc>
          <w:tcPr>
            <w:tcW w:w="258" w:type="dxa"/>
            <w:tcBorders>
              <w:top w:val="nil"/>
              <w:left w:val="nil"/>
              <w:bottom w:val="nil"/>
              <w:right w:val="nil"/>
            </w:tcBorders>
            <w:shd w:val="clear" w:color="000000" w:fill="D9E1F2"/>
            <w:noWrap/>
            <w:vAlign w:val="bottom"/>
            <w:hideMark/>
          </w:tcPr>
          <w:p w14:paraId="11CB8475" w14:textId="6B23B141" w:rsidR="00485972" w:rsidRPr="009A3FE8" w:rsidRDefault="00485972" w:rsidP="00485972">
            <w:pPr>
              <w:spacing w:after="0" w:line="240" w:lineRule="auto"/>
              <w:jc w:val="center"/>
              <w:rPr>
                <w:rFonts w:ascii="Calibri" w:eastAsia="Times New Roman" w:hAnsi="Calibri" w:cs="Calibri"/>
                <w:sz w:val="17"/>
                <w:szCs w:val="17"/>
              </w:rPr>
            </w:pPr>
          </w:p>
        </w:tc>
        <w:tc>
          <w:tcPr>
            <w:tcW w:w="763" w:type="dxa"/>
            <w:tcBorders>
              <w:top w:val="nil"/>
              <w:left w:val="nil"/>
              <w:bottom w:val="nil"/>
              <w:right w:val="nil"/>
            </w:tcBorders>
            <w:shd w:val="clear" w:color="000000" w:fill="D9E1F2"/>
            <w:noWrap/>
            <w:vAlign w:val="bottom"/>
            <w:hideMark/>
          </w:tcPr>
          <w:p w14:paraId="47A536CC" w14:textId="56A36E8A"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19%</w:t>
            </w:r>
          </w:p>
        </w:tc>
        <w:tc>
          <w:tcPr>
            <w:tcW w:w="258" w:type="dxa"/>
            <w:tcBorders>
              <w:top w:val="nil"/>
              <w:left w:val="nil"/>
              <w:bottom w:val="nil"/>
              <w:right w:val="nil"/>
            </w:tcBorders>
            <w:shd w:val="clear" w:color="000000" w:fill="D9E1F2"/>
            <w:noWrap/>
            <w:vAlign w:val="bottom"/>
            <w:hideMark/>
          </w:tcPr>
          <w:p w14:paraId="28341617" w14:textId="56D48264" w:rsidR="00485972" w:rsidRPr="009A3FE8" w:rsidRDefault="00485972" w:rsidP="00485972">
            <w:pPr>
              <w:spacing w:after="0" w:line="240" w:lineRule="auto"/>
              <w:jc w:val="center"/>
              <w:rPr>
                <w:rFonts w:ascii="Calibri" w:eastAsia="Times New Roman" w:hAnsi="Calibri" w:cs="Calibri"/>
                <w:sz w:val="17"/>
                <w:szCs w:val="17"/>
              </w:rPr>
            </w:pPr>
          </w:p>
        </w:tc>
        <w:tc>
          <w:tcPr>
            <w:tcW w:w="763" w:type="dxa"/>
            <w:tcBorders>
              <w:top w:val="nil"/>
              <w:left w:val="nil"/>
              <w:bottom w:val="nil"/>
              <w:right w:val="nil"/>
            </w:tcBorders>
            <w:shd w:val="clear" w:color="000000" w:fill="D9E1F2"/>
            <w:noWrap/>
            <w:vAlign w:val="bottom"/>
            <w:hideMark/>
          </w:tcPr>
          <w:p w14:paraId="71402BFF" w14:textId="27ADB1EE"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36%</w:t>
            </w:r>
          </w:p>
        </w:tc>
        <w:tc>
          <w:tcPr>
            <w:tcW w:w="258" w:type="dxa"/>
            <w:tcBorders>
              <w:top w:val="nil"/>
              <w:left w:val="nil"/>
              <w:bottom w:val="nil"/>
              <w:right w:val="nil"/>
            </w:tcBorders>
            <w:shd w:val="clear" w:color="000000" w:fill="D9E1F2"/>
            <w:noWrap/>
            <w:vAlign w:val="bottom"/>
            <w:hideMark/>
          </w:tcPr>
          <w:p w14:paraId="45E4C5F4" w14:textId="4D8FB56D" w:rsidR="00485972" w:rsidRPr="009A3FE8" w:rsidRDefault="00485972" w:rsidP="00485972">
            <w:pPr>
              <w:spacing w:after="0" w:line="240" w:lineRule="auto"/>
              <w:jc w:val="center"/>
              <w:rPr>
                <w:rFonts w:ascii="Calibri" w:eastAsia="Times New Roman" w:hAnsi="Calibri" w:cs="Calibri"/>
                <w:sz w:val="17"/>
                <w:szCs w:val="17"/>
              </w:rPr>
            </w:pPr>
          </w:p>
        </w:tc>
        <w:tc>
          <w:tcPr>
            <w:tcW w:w="1007" w:type="dxa"/>
            <w:tcBorders>
              <w:top w:val="nil"/>
              <w:left w:val="nil"/>
              <w:bottom w:val="nil"/>
              <w:right w:val="nil"/>
            </w:tcBorders>
            <w:shd w:val="clear" w:color="000000" w:fill="D9E1F2"/>
            <w:noWrap/>
            <w:vAlign w:val="bottom"/>
            <w:hideMark/>
          </w:tcPr>
          <w:p w14:paraId="748B0644" w14:textId="5466DC01"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8%</w:t>
            </w:r>
          </w:p>
        </w:tc>
        <w:tc>
          <w:tcPr>
            <w:tcW w:w="1007" w:type="dxa"/>
            <w:tcBorders>
              <w:top w:val="nil"/>
              <w:left w:val="nil"/>
              <w:bottom w:val="nil"/>
              <w:right w:val="nil"/>
            </w:tcBorders>
            <w:shd w:val="clear" w:color="000000" w:fill="D9E1F2"/>
            <w:noWrap/>
            <w:vAlign w:val="bottom"/>
            <w:hideMark/>
          </w:tcPr>
          <w:p w14:paraId="147C5CBC" w14:textId="365B344C"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14%</w:t>
            </w:r>
          </w:p>
        </w:tc>
        <w:tc>
          <w:tcPr>
            <w:tcW w:w="766" w:type="dxa"/>
            <w:tcBorders>
              <w:top w:val="nil"/>
              <w:left w:val="nil"/>
              <w:bottom w:val="nil"/>
              <w:right w:val="nil"/>
            </w:tcBorders>
            <w:shd w:val="clear" w:color="000000" w:fill="D9E1F2"/>
            <w:noWrap/>
            <w:vAlign w:val="bottom"/>
            <w:hideMark/>
          </w:tcPr>
          <w:p w14:paraId="01FE5FDC" w14:textId="57C6CF4E"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4%</w:t>
            </w:r>
          </w:p>
        </w:tc>
        <w:tc>
          <w:tcPr>
            <w:tcW w:w="258" w:type="dxa"/>
            <w:gridSpan w:val="2"/>
            <w:tcBorders>
              <w:top w:val="nil"/>
              <w:left w:val="nil"/>
              <w:bottom w:val="nil"/>
              <w:right w:val="nil"/>
            </w:tcBorders>
            <w:shd w:val="clear" w:color="000000" w:fill="D9E1F2"/>
            <w:noWrap/>
            <w:vAlign w:val="bottom"/>
            <w:hideMark/>
          </w:tcPr>
          <w:p w14:paraId="16B019F2" w14:textId="77777777" w:rsidR="00485972" w:rsidRPr="009A3FE8" w:rsidRDefault="00485972" w:rsidP="00485972">
            <w:pPr>
              <w:spacing w:after="0" w:line="240" w:lineRule="auto"/>
              <w:jc w:val="center"/>
              <w:rPr>
                <w:rFonts w:ascii="Calibri" w:eastAsia="Times New Roman" w:hAnsi="Calibri" w:cs="Calibri"/>
                <w:sz w:val="17"/>
                <w:szCs w:val="17"/>
              </w:rPr>
            </w:pPr>
            <w:r w:rsidRPr="009A3FE8">
              <w:rPr>
                <w:rFonts w:ascii="Calibri" w:eastAsia="Times New Roman" w:hAnsi="Calibri" w:cs="Calibri"/>
                <w:sz w:val="17"/>
                <w:szCs w:val="17"/>
              </w:rPr>
              <w:t> </w:t>
            </w:r>
          </w:p>
        </w:tc>
        <w:tc>
          <w:tcPr>
            <w:tcW w:w="606" w:type="dxa"/>
            <w:gridSpan w:val="2"/>
            <w:tcBorders>
              <w:top w:val="nil"/>
              <w:left w:val="nil"/>
              <w:bottom w:val="nil"/>
              <w:right w:val="nil"/>
            </w:tcBorders>
            <w:shd w:val="clear" w:color="000000" w:fill="FFFFFF"/>
            <w:noWrap/>
            <w:vAlign w:val="bottom"/>
            <w:hideMark/>
          </w:tcPr>
          <w:p w14:paraId="7CE01408" w14:textId="77777777" w:rsidR="00485972" w:rsidRPr="009A3FE8" w:rsidRDefault="00485972" w:rsidP="00485972">
            <w:pPr>
              <w:spacing w:after="0" w:line="240" w:lineRule="auto"/>
              <w:jc w:val="center"/>
              <w:rPr>
                <w:rFonts w:ascii="Calibri" w:eastAsia="Times New Roman" w:hAnsi="Calibri" w:cs="Calibri"/>
                <w:sz w:val="17"/>
                <w:szCs w:val="17"/>
              </w:rPr>
            </w:pPr>
            <w:r w:rsidRPr="009A3FE8">
              <w:rPr>
                <w:rFonts w:ascii="Calibri" w:eastAsia="Times New Roman" w:hAnsi="Calibri" w:cs="Calibri"/>
                <w:sz w:val="17"/>
                <w:szCs w:val="17"/>
              </w:rPr>
              <w:t>100%</w:t>
            </w:r>
          </w:p>
        </w:tc>
      </w:tr>
      <w:tr w:rsidR="00485972" w:rsidRPr="006743D6" w14:paraId="1134DECF" w14:textId="77777777" w:rsidTr="00A80414">
        <w:trPr>
          <w:gridAfter w:val="1"/>
          <w:wAfter w:w="6" w:type="dxa"/>
          <w:trHeight w:val="255"/>
          <w:jc w:val="center"/>
        </w:trPr>
        <w:tc>
          <w:tcPr>
            <w:tcW w:w="565" w:type="dxa"/>
            <w:vMerge/>
            <w:tcBorders>
              <w:top w:val="nil"/>
              <w:left w:val="nil"/>
              <w:bottom w:val="nil"/>
              <w:right w:val="nil"/>
            </w:tcBorders>
            <w:vAlign w:val="center"/>
            <w:hideMark/>
          </w:tcPr>
          <w:p w14:paraId="7100C49B" w14:textId="77777777" w:rsidR="00485972" w:rsidRPr="009A3FE8" w:rsidRDefault="00485972" w:rsidP="00485972">
            <w:pPr>
              <w:spacing w:after="0" w:line="240" w:lineRule="auto"/>
              <w:rPr>
                <w:rFonts w:ascii="Calibri" w:eastAsia="Times New Roman" w:hAnsi="Calibri" w:cs="Calibri"/>
                <w:b/>
                <w:bCs/>
                <w:color w:val="000000"/>
                <w:sz w:val="17"/>
                <w:szCs w:val="17"/>
              </w:rPr>
            </w:pPr>
          </w:p>
        </w:tc>
        <w:tc>
          <w:tcPr>
            <w:tcW w:w="3039" w:type="dxa"/>
            <w:tcBorders>
              <w:top w:val="nil"/>
              <w:left w:val="nil"/>
              <w:bottom w:val="nil"/>
              <w:right w:val="nil"/>
            </w:tcBorders>
            <w:noWrap/>
            <w:vAlign w:val="center"/>
            <w:hideMark/>
          </w:tcPr>
          <w:p w14:paraId="45836A8A" w14:textId="3DDD710F" w:rsidR="00485972" w:rsidRPr="009A3FE8" w:rsidRDefault="00485972" w:rsidP="00485972">
            <w:pPr>
              <w:spacing w:after="0" w:line="240" w:lineRule="auto"/>
              <w:rPr>
                <w:rFonts w:ascii="Calibri" w:eastAsia="Times New Roman" w:hAnsi="Calibri" w:cs="Calibri"/>
                <w:b/>
                <w:bCs/>
                <w:sz w:val="17"/>
                <w:szCs w:val="17"/>
              </w:rPr>
            </w:pPr>
            <w:r>
              <w:rPr>
                <w:rFonts w:ascii="Calibri" w:eastAsia="Times New Roman" w:hAnsi="Calibri" w:cs="Calibri"/>
                <w:b/>
                <w:bCs/>
                <w:sz w:val="17"/>
                <w:szCs w:val="17"/>
              </w:rPr>
              <w:t>Extended, with individuals under 25</w:t>
            </w:r>
          </w:p>
        </w:tc>
        <w:tc>
          <w:tcPr>
            <w:tcW w:w="258" w:type="dxa"/>
            <w:tcBorders>
              <w:top w:val="nil"/>
              <w:left w:val="nil"/>
              <w:bottom w:val="nil"/>
              <w:right w:val="nil"/>
            </w:tcBorders>
            <w:noWrap/>
            <w:vAlign w:val="bottom"/>
            <w:hideMark/>
          </w:tcPr>
          <w:p w14:paraId="5D9B1044" w14:textId="77777777" w:rsidR="00485972" w:rsidRPr="009A3FE8" w:rsidRDefault="00485972" w:rsidP="00485972">
            <w:pPr>
              <w:spacing w:after="0" w:line="240" w:lineRule="auto"/>
              <w:rPr>
                <w:rFonts w:ascii="Calibri" w:eastAsia="Times New Roman" w:hAnsi="Calibri" w:cs="Calibri"/>
                <w:b/>
                <w:bCs/>
                <w:sz w:val="17"/>
                <w:szCs w:val="17"/>
              </w:rPr>
            </w:pPr>
          </w:p>
        </w:tc>
        <w:tc>
          <w:tcPr>
            <w:tcW w:w="735" w:type="dxa"/>
            <w:tcBorders>
              <w:top w:val="nil"/>
              <w:left w:val="nil"/>
              <w:bottom w:val="nil"/>
              <w:right w:val="nil"/>
            </w:tcBorders>
            <w:noWrap/>
            <w:vAlign w:val="bottom"/>
            <w:hideMark/>
          </w:tcPr>
          <w:p w14:paraId="20CBDC45" w14:textId="0A66EF9A"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4%</w:t>
            </w:r>
          </w:p>
        </w:tc>
        <w:tc>
          <w:tcPr>
            <w:tcW w:w="817" w:type="dxa"/>
            <w:tcBorders>
              <w:top w:val="nil"/>
              <w:left w:val="nil"/>
              <w:bottom w:val="nil"/>
              <w:right w:val="nil"/>
            </w:tcBorders>
            <w:noWrap/>
            <w:vAlign w:val="bottom"/>
            <w:hideMark/>
          </w:tcPr>
          <w:p w14:paraId="47CDF531" w14:textId="4146EEC5"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1%</w:t>
            </w:r>
          </w:p>
        </w:tc>
        <w:tc>
          <w:tcPr>
            <w:tcW w:w="258" w:type="dxa"/>
            <w:tcBorders>
              <w:top w:val="nil"/>
              <w:left w:val="nil"/>
              <w:bottom w:val="nil"/>
              <w:right w:val="nil"/>
            </w:tcBorders>
            <w:noWrap/>
            <w:vAlign w:val="bottom"/>
            <w:hideMark/>
          </w:tcPr>
          <w:p w14:paraId="4344467F" w14:textId="77777777" w:rsidR="00485972" w:rsidRPr="009A3FE8" w:rsidRDefault="00485972" w:rsidP="00485972">
            <w:pPr>
              <w:spacing w:after="0" w:line="240" w:lineRule="auto"/>
              <w:jc w:val="center"/>
              <w:rPr>
                <w:rFonts w:ascii="Calibri" w:eastAsia="Times New Roman" w:hAnsi="Calibri" w:cs="Calibri"/>
                <w:sz w:val="17"/>
                <w:szCs w:val="17"/>
              </w:rPr>
            </w:pPr>
          </w:p>
        </w:tc>
        <w:tc>
          <w:tcPr>
            <w:tcW w:w="763" w:type="dxa"/>
            <w:tcBorders>
              <w:top w:val="nil"/>
              <w:left w:val="nil"/>
              <w:bottom w:val="nil"/>
              <w:right w:val="nil"/>
            </w:tcBorders>
            <w:noWrap/>
            <w:vAlign w:val="bottom"/>
            <w:hideMark/>
          </w:tcPr>
          <w:p w14:paraId="2D514CFB" w14:textId="716CA632"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21%</w:t>
            </w:r>
          </w:p>
        </w:tc>
        <w:tc>
          <w:tcPr>
            <w:tcW w:w="258" w:type="dxa"/>
            <w:tcBorders>
              <w:top w:val="nil"/>
              <w:left w:val="nil"/>
              <w:bottom w:val="nil"/>
              <w:right w:val="nil"/>
            </w:tcBorders>
            <w:noWrap/>
            <w:vAlign w:val="bottom"/>
            <w:hideMark/>
          </w:tcPr>
          <w:p w14:paraId="230300AB" w14:textId="77777777" w:rsidR="00485972" w:rsidRPr="009A3FE8" w:rsidRDefault="00485972" w:rsidP="00485972">
            <w:pPr>
              <w:spacing w:after="0" w:line="240" w:lineRule="auto"/>
              <w:jc w:val="center"/>
              <w:rPr>
                <w:rFonts w:ascii="Calibri" w:eastAsia="Times New Roman" w:hAnsi="Calibri" w:cs="Calibri"/>
                <w:sz w:val="17"/>
                <w:szCs w:val="17"/>
              </w:rPr>
            </w:pPr>
          </w:p>
        </w:tc>
        <w:tc>
          <w:tcPr>
            <w:tcW w:w="763" w:type="dxa"/>
            <w:tcBorders>
              <w:top w:val="nil"/>
              <w:left w:val="nil"/>
              <w:bottom w:val="nil"/>
              <w:right w:val="nil"/>
            </w:tcBorders>
            <w:noWrap/>
            <w:vAlign w:val="bottom"/>
            <w:hideMark/>
          </w:tcPr>
          <w:p w14:paraId="453D5E89" w14:textId="195C9813"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20%</w:t>
            </w:r>
          </w:p>
        </w:tc>
        <w:tc>
          <w:tcPr>
            <w:tcW w:w="258" w:type="dxa"/>
            <w:tcBorders>
              <w:top w:val="nil"/>
              <w:left w:val="nil"/>
              <w:bottom w:val="nil"/>
              <w:right w:val="nil"/>
            </w:tcBorders>
            <w:noWrap/>
            <w:vAlign w:val="bottom"/>
            <w:hideMark/>
          </w:tcPr>
          <w:p w14:paraId="5E60935F" w14:textId="77777777" w:rsidR="00485972" w:rsidRPr="009A3FE8" w:rsidRDefault="00485972" w:rsidP="00485972">
            <w:pPr>
              <w:spacing w:after="0" w:line="240" w:lineRule="auto"/>
              <w:jc w:val="center"/>
              <w:rPr>
                <w:rFonts w:ascii="Calibri" w:eastAsia="Times New Roman" w:hAnsi="Calibri" w:cs="Calibri"/>
                <w:sz w:val="17"/>
                <w:szCs w:val="17"/>
              </w:rPr>
            </w:pPr>
          </w:p>
        </w:tc>
        <w:tc>
          <w:tcPr>
            <w:tcW w:w="1007" w:type="dxa"/>
            <w:tcBorders>
              <w:top w:val="nil"/>
              <w:left w:val="nil"/>
              <w:bottom w:val="nil"/>
              <w:right w:val="nil"/>
            </w:tcBorders>
            <w:noWrap/>
            <w:vAlign w:val="bottom"/>
            <w:hideMark/>
          </w:tcPr>
          <w:p w14:paraId="3A02890A" w14:textId="6C0D1390"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15%</w:t>
            </w:r>
          </w:p>
        </w:tc>
        <w:tc>
          <w:tcPr>
            <w:tcW w:w="1007" w:type="dxa"/>
            <w:tcBorders>
              <w:top w:val="nil"/>
              <w:left w:val="nil"/>
              <w:bottom w:val="nil"/>
              <w:right w:val="nil"/>
            </w:tcBorders>
            <w:noWrap/>
            <w:vAlign w:val="bottom"/>
            <w:hideMark/>
          </w:tcPr>
          <w:p w14:paraId="0E502332" w14:textId="421E9245"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30%</w:t>
            </w:r>
          </w:p>
        </w:tc>
        <w:tc>
          <w:tcPr>
            <w:tcW w:w="766" w:type="dxa"/>
            <w:tcBorders>
              <w:top w:val="nil"/>
              <w:left w:val="nil"/>
              <w:bottom w:val="nil"/>
              <w:right w:val="nil"/>
            </w:tcBorders>
            <w:noWrap/>
            <w:vAlign w:val="bottom"/>
            <w:hideMark/>
          </w:tcPr>
          <w:p w14:paraId="3362F17C" w14:textId="4E360010" w:rsidR="00485972" w:rsidRPr="009A3FE8" w:rsidRDefault="00485972" w:rsidP="00485972">
            <w:pPr>
              <w:spacing w:after="0" w:line="240" w:lineRule="auto"/>
              <w:jc w:val="center"/>
              <w:rPr>
                <w:rFonts w:ascii="Calibri" w:eastAsia="Times New Roman" w:hAnsi="Calibri" w:cs="Calibri"/>
                <w:sz w:val="17"/>
                <w:szCs w:val="17"/>
              </w:rPr>
            </w:pPr>
            <w:r>
              <w:rPr>
                <w:rFonts w:ascii="Calibri" w:eastAsia="Times New Roman" w:hAnsi="Calibri" w:cs="Calibri"/>
                <w:sz w:val="17"/>
                <w:szCs w:val="17"/>
              </w:rPr>
              <w:t>9%</w:t>
            </w:r>
          </w:p>
        </w:tc>
        <w:tc>
          <w:tcPr>
            <w:tcW w:w="258" w:type="dxa"/>
            <w:gridSpan w:val="2"/>
            <w:tcBorders>
              <w:top w:val="nil"/>
              <w:left w:val="nil"/>
              <w:bottom w:val="nil"/>
              <w:right w:val="nil"/>
            </w:tcBorders>
            <w:noWrap/>
            <w:vAlign w:val="bottom"/>
            <w:hideMark/>
          </w:tcPr>
          <w:p w14:paraId="75D6DDFD" w14:textId="77777777" w:rsidR="00485972" w:rsidRPr="009A3FE8" w:rsidRDefault="00485972" w:rsidP="00485972">
            <w:pPr>
              <w:spacing w:after="0" w:line="240" w:lineRule="auto"/>
              <w:jc w:val="center"/>
              <w:rPr>
                <w:rFonts w:ascii="Calibri" w:eastAsia="Times New Roman" w:hAnsi="Calibri" w:cs="Calibri"/>
                <w:sz w:val="17"/>
                <w:szCs w:val="17"/>
              </w:rPr>
            </w:pPr>
          </w:p>
        </w:tc>
        <w:tc>
          <w:tcPr>
            <w:tcW w:w="606" w:type="dxa"/>
            <w:gridSpan w:val="2"/>
            <w:tcBorders>
              <w:top w:val="nil"/>
              <w:left w:val="nil"/>
              <w:bottom w:val="nil"/>
              <w:right w:val="nil"/>
            </w:tcBorders>
            <w:noWrap/>
            <w:vAlign w:val="bottom"/>
            <w:hideMark/>
          </w:tcPr>
          <w:p w14:paraId="4F0F18BD" w14:textId="77777777" w:rsidR="00485972" w:rsidRPr="009A3FE8" w:rsidRDefault="00485972" w:rsidP="00485972">
            <w:pPr>
              <w:spacing w:after="0" w:line="240" w:lineRule="auto"/>
              <w:jc w:val="center"/>
              <w:rPr>
                <w:rFonts w:ascii="Calibri" w:eastAsia="Times New Roman" w:hAnsi="Calibri" w:cs="Calibri"/>
                <w:sz w:val="17"/>
                <w:szCs w:val="17"/>
              </w:rPr>
            </w:pPr>
            <w:r w:rsidRPr="009A3FE8">
              <w:rPr>
                <w:rFonts w:ascii="Calibri" w:eastAsia="Times New Roman" w:hAnsi="Calibri" w:cs="Calibri"/>
                <w:sz w:val="17"/>
                <w:szCs w:val="17"/>
              </w:rPr>
              <w:t>100%</w:t>
            </w:r>
          </w:p>
        </w:tc>
      </w:tr>
      <w:tr w:rsidR="00485972" w:rsidRPr="006743D6" w14:paraId="75BBC9C8" w14:textId="77777777" w:rsidTr="00A80414">
        <w:trPr>
          <w:gridAfter w:val="1"/>
          <w:wAfter w:w="6" w:type="dxa"/>
          <w:trHeight w:val="255"/>
          <w:jc w:val="center"/>
        </w:trPr>
        <w:tc>
          <w:tcPr>
            <w:tcW w:w="565" w:type="dxa"/>
            <w:tcBorders>
              <w:top w:val="nil"/>
              <w:left w:val="nil"/>
              <w:bottom w:val="nil"/>
              <w:right w:val="nil"/>
            </w:tcBorders>
            <w:textDirection w:val="btLr"/>
            <w:vAlign w:val="center"/>
            <w:hideMark/>
          </w:tcPr>
          <w:p w14:paraId="34545E00" w14:textId="77777777" w:rsidR="00485972" w:rsidRPr="009A3FE8" w:rsidRDefault="00485972" w:rsidP="00485972">
            <w:pPr>
              <w:spacing w:after="0" w:line="240" w:lineRule="auto"/>
              <w:jc w:val="center"/>
              <w:rPr>
                <w:rFonts w:ascii="Calibri" w:eastAsia="Times New Roman" w:hAnsi="Calibri" w:cs="Calibri"/>
                <w:sz w:val="17"/>
                <w:szCs w:val="17"/>
              </w:rPr>
            </w:pPr>
          </w:p>
        </w:tc>
        <w:tc>
          <w:tcPr>
            <w:tcW w:w="3039" w:type="dxa"/>
            <w:tcBorders>
              <w:top w:val="nil"/>
              <w:left w:val="nil"/>
              <w:bottom w:val="double" w:sz="6" w:space="0" w:color="auto"/>
              <w:right w:val="nil"/>
            </w:tcBorders>
            <w:shd w:val="clear" w:color="000000" w:fill="D9E1F2"/>
            <w:noWrap/>
            <w:vAlign w:val="center"/>
            <w:hideMark/>
          </w:tcPr>
          <w:p w14:paraId="23A705AF" w14:textId="7BF0BE7F" w:rsidR="00485972" w:rsidRPr="009A3FE8" w:rsidRDefault="00485972" w:rsidP="00485972">
            <w:pPr>
              <w:spacing w:after="0" w:line="240" w:lineRule="auto"/>
              <w:rPr>
                <w:rFonts w:ascii="Calibri" w:eastAsia="Times New Roman" w:hAnsi="Calibri" w:cs="Calibri"/>
                <w:i/>
                <w:sz w:val="17"/>
                <w:szCs w:val="17"/>
              </w:rPr>
            </w:pPr>
            <w:r>
              <w:rPr>
                <w:rFonts w:ascii="Calibri" w:eastAsia="Times New Roman" w:hAnsi="Calibri" w:cs="Calibri"/>
                <w:i/>
                <w:sz w:val="17"/>
                <w:szCs w:val="17"/>
              </w:rPr>
              <w:t>Total</w:t>
            </w:r>
          </w:p>
        </w:tc>
        <w:tc>
          <w:tcPr>
            <w:tcW w:w="258" w:type="dxa"/>
            <w:tcBorders>
              <w:top w:val="nil"/>
              <w:left w:val="nil"/>
              <w:bottom w:val="double" w:sz="6" w:space="0" w:color="auto"/>
              <w:right w:val="nil"/>
            </w:tcBorders>
            <w:shd w:val="clear" w:color="000000" w:fill="D9E1F2"/>
            <w:noWrap/>
            <w:vAlign w:val="bottom"/>
            <w:hideMark/>
          </w:tcPr>
          <w:p w14:paraId="5991E2B0" w14:textId="0568CF15" w:rsidR="00485972" w:rsidRPr="009A3FE8" w:rsidRDefault="00485972" w:rsidP="00485972">
            <w:pPr>
              <w:spacing w:after="0" w:line="240" w:lineRule="auto"/>
              <w:rPr>
                <w:rFonts w:ascii="Calibri" w:eastAsia="Times New Roman" w:hAnsi="Calibri" w:cs="Calibri"/>
                <w:i/>
                <w:sz w:val="17"/>
                <w:szCs w:val="17"/>
              </w:rPr>
            </w:pPr>
            <w:r>
              <w:rPr>
                <w:rFonts w:ascii="Calibri" w:eastAsia="Times New Roman" w:hAnsi="Calibri" w:cs="Calibri"/>
                <w:i/>
                <w:sz w:val="17"/>
                <w:szCs w:val="17"/>
              </w:rPr>
              <w:t> </w:t>
            </w:r>
          </w:p>
        </w:tc>
        <w:tc>
          <w:tcPr>
            <w:tcW w:w="735" w:type="dxa"/>
            <w:tcBorders>
              <w:top w:val="nil"/>
              <w:left w:val="nil"/>
              <w:bottom w:val="double" w:sz="6" w:space="0" w:color="auto"/>
              <w:right w:val="nil"/>
            </w:tcBorders>
            <w:shd w:val="clear" w:color="000000" w:fill="D9E1F2"/>
            <w:noWrap/>
            <w:vAlign w:val="bottom"/>
            <w:hideMark/>
          </w:tcPr>
          <w:p w14:paraId="4CB26B27" w14:textId="5C14CEBF" w:rsidR="00485972" w:rsidRPr="009A3FE8" w:rsidRDefault="00485972" w:rsidP="00485972">
            <w:pPr>
              <w:spacing w:after="0" w:line="240" w:lineRule="auto"/>
              <w:jc w:val="center"/>
              <w:rPr>
                <w:rFonts w:ascii="Calibri" w:eastAsia="Times New Roman" w:hAnsi="Calibri" w:cs="Calibri"/>
                <w:i/>
                <w:sz w:val="17"/>
                <w:szCs w:val="17"/>
              </w:rPr>
            </w:pPr>
            <w:r>
              <w:rPr>
                <w:rFonts w:ascii="Calibri" w:eastAsia="Times New Roman" w:hAnsi="Calibri" w:cs="Calibri"/>
                <w:sz w:val="17"/>
                <w:szCs w:val="17"/>
              </w:rPr>
              <w:t>18%</w:t>
            </w:r>
          </w:p>
        </w:tc>
        <w:tc>
          <w:tcPr>
            <w:tcW w:w="817" w:type="dxa"/>
            <w:tcBorders>
              <w:top w:val="nil"/>
              <w:left w:val="nil"/>
              <w:bottom w:val="double" w:sz="6" w:space="0" w:color="auto"/>
              <w:right w:val="nil"/>
            </w:tcBorders>
            <w:shd w:val="clear" w:color="000000" w:fill="D9E1F2"/>
            <w:noWrap/>
            <w:vAlign w:val="bottom"/>
            <w:hideMark/>
          </w:tcPr>
          <w:p w14:paraId="73C5A29D" w14:textId="7BF290F4" w:rsidR="00485972" w:rsidRPr="009A3FE8" w:rsidRDefault="00485972" w:rsidP="00485972">
            <w:pPr>
              <w:spacing w:after="0" w:line="240" w:lineRule="auto"/>
              <w:jc w:val="center"/>
              <w:rPr>
                <w:rFonts w:ascii="Calibri" w:eastAsia="Times New Roman" w:hAnsi="Calibri" w:cs="Calibri"/>
                <w:i/>
                <w:sz w:val="17"/>
                <w:szCs w:val="17"/>
              </w:rPr>
            </w:pPr>
            <w:r>
              <w:rPr>
                <w:rFonts w:ascii="Calibri" w:eastAsia="Times New Roman" w:hAnsi="Calibri" w:cs="Calibri"/>
                <w:sz w:val="17"/>
                <w:szCs w:val="17"/>
              </w:rPr>
              <w:t>2%</w:t>
            </w:r>
          </w:p>
        </w:tc>
        <w:tc>
          <w:tcPr>
            <w:tcW w:w="258" w:type="dxa"/>
            <w:tcBorders>
              <w:top w:val="nil"/>
              <w:left w:val="nil"/>
              <w:bottom w:val="double" w:sz="6" w:space="0" w:color="auto"/>
              <w:right w:val="nil"/>
            </w:tcBorders>
            <w:shd w:val="clear" w:color="000000" w:fill="D9E1F2"/>
            <w:noWrap/>
            <w:vAlign w:val="bottom"/>
            <w:hideMark/>
          </w:tcPr>
          <w:p w14:paraId="7FFC4D01" w14:textId="23AFE15F" w:rsidR="00485972" w:rsidRPr="009A3FE8" w:rsidRDefault="00485972" w:rsidP="00485972">
            <w:pPr>
              <w:spacing w:after="0" w:line="240" w:lineRule="auto"/>
              <w:jc w:val="center"/>
              <w:rPr>
                <w:rFonts w:ascii="Calibri" w:eastAsia="Times New Roman" w:hAnsi="Calibri" w:cs="Calibri"/>
                <w:i/>
                <w:sz w:val="17"/>
                <w:szCs w:val="17"/>
              </w:rPr>
            </w:pPr>
          </w:p>
        </w:tc>
        <w:tc>
          <w:tcPr>
            <w:tcW w:w="763" w:type="dxa"/>
            <w:tcBorders>
              <w:top w:val="nil"/>
              <w:left w:val="nil"/>
              <w:bottom w:val="double" w:sz="6" w:space="0" w:color="auto"/>
              <w:right w:val="nil"/>
            </w:tcBorders>
            <w:shd w:val="clear" w:color="000000" w:fill="D9E1F2"/>
            <w:noWrap/>
            <w:vAlign w:val="bottom"/>
            <w:hideMark/>
          </w:tcPr>
          <w:p w14:paraId="0D2315D4" w14:textId="31063372" w:rsidR="00485972" w:rsidRPr="009A3FE8" w:rsidRDefault="00485972" w:rsidP="00485972">
            <w:pPr>
              <w:spacing w:after="0" w:line="240" w:lineRule="auto"/>
              <w:jc w:val="center"/>
              <w:rPr>
                <w:rFonts w:ascii="Calibri" w:eastAsia="Times New Roman" w:hAnsi="Calibri" w:cs="Calibri"/>
                <w:i/>
                <w:sz w:val="17"/>
                <w:szCs w:val="17"/>
              </w:rPr>
            </w:pPr>
            <w:r>
              <w:rPr>
                <w:rFonts w:ascii="Calibri" w:eastAsia="Times New Roman" w:hAnsi="Calibri" w:cs="Calibri"/>
                <w:sz w:val="17"/>
                <w:szCs w:val="17"/>
              </w:rPr>
              <w:t>16%</w:t>
            </w:r>
          </w:p>
        </w:tc>
        <w:tc>
          <w:tcPr>
            <w:tcW w:w="258" w:type="dxa"/>
            <w:tcBorders>
              <w:top w:val="nil"/>
              <w:left w:val="nil"/>
              <w:bottom w:val="double" w:sz="6" w:space="0" w:color="auto"/>
              <w:right w:val="nil"/>
            </w:tcBorders>
            <w:shd w:val="clear" w:color="000000" w:fill="D9E1F2"/>
            <w:noWrap/>
            <w:vAlign w:val="bottom"/>
            <w:hideMark/>
          </w:tcPr>
          <w:p w14:paraId="1609203D" w14:textId="55F06505" w:rsidR="00485972" w:rsidRPr="009A3FE8" w:rsidRDefault="00485972" w:rsidP="00485972">
            <w:pPr>
              <w:spacing w:after="0" w:line="240" w:lineRule="auto"/>
              <w:jc w:val="center"/>
              <w:rPr>
                <w:rFonts w:ascii="Calibri" w:eastAsia="Times New Roman" w:hAnsi="Calibri" w:cs="Calibri"/>
                <w:i/>
                <w:sz w:val="17"/>
                <w:szCs w:val="17"/>
              </w:rPr>
            </w:pPr>
          </w:p>
        </w:tc>
        <w:tc>
          <w:tcPr>
            <w:tcW w:w="763" w:type="dxa"/>
            <w:tcBorders>
              <w:top w:val="nil"/>
              <w:left w:val="nil"/>
              <w:bottom w:val="double" w:sz="6" w:space="0" w:color="auto"/>
              <w:right w:val="nil"/>
            </w:tcBorders>
            <w:shd w:val="clear" w:color="000000" w:fill="D9E1F2"/>
            <w:noWrap/>
            <w:vAlign w:val="bottom"/>
            <w:hideMark/>
          </w:tcPr>
          <w:p w14:paraId="77267CCE" w14:textId="432B400E" w:rsidR="00485972" w:rsidRPr="009A3FE8" w:rsidRDefault="00485972" w:rsidP="00485972">
            <w:pPr>
              <w:spacing w:after="0" w:line="240" w:lineRule="auto"/>
              <w:jc w:val="center"/>
              <w:rPr>
                <w:rFonts w:ascii="Calibri" w:eastAsia="Times New Roman" w:hAnsi="Calibri" w:cs="Calibri"/>
                <w:i/>
                <w:sz w:val="17"/>
                <w:szCs w:val="17"/>
              </w:rPr>
            </w:pPr>
            <w:r>
              <w:rPr>
                <w:rFonts w:ascii="Calibri" w:eastAsia="Times New Roman" w:hAnsi="Calibri" w:cs="Calibri"/>
                <w:sz w:val="17"/>
                <w:szCs w:val="17"/>
              </w:rPr>
              <w:t>27%</w:t>
            </w:r>
          </w:p>
        </w:tc>
        <w:tc>
          <w:tcPr>
            <w:tcW w:w="258" w:type="dxa"/>
            <w:tcBorders>
              <w:top w:val="nil"/>
              <w:left w:val="nil"/>
              <w:bottom w:val="double" w:sz="6" w:space="0" w:color="auto"/>
              <w:right w:val="nil"/>
            </w:tcBorders>
            <w:shd w:val="clear" w:color="000000" w:fill="D9E1F2"/>
            <w:noWrap/>
            <w:vAlign w:val="bottom"/>
            <w:hideMark/>
          </w:tcPr>
          <w:p w14:paraId="1A8ED0F7" w14:textId="6D45443C" w:rsidR="00485972" w:rsidRPr="009A3FE8" w:rsidRDefault="00485972" w:rsidP="00485972">
            <w:pPr>
              <w:spacing w:after="0" w:line="240" w:lineRule="auto"/>
              <w:jc w:val="center"/>
              <w:rPr>
                <w:rFonts w:ascii="Calibri" w:eastAsia="Times New Roman" w:hAnsi="Calibri" w:cs="Calibri"/>
                <w:i/>
                <w:sz w:val="17"/>
                <w:szCs w:val="17"/>
              </w:rPr>
            </w:pPr>
          </w:p>
        </w:tc>
        <w:tc>
          <w:tcPr>
            <w:tcW w:w="1007" w:type="dxa"/>
            <w:tcBorders>
              <w:top w:val="nil"/>
              <w:left w:val="nil"/>
              <w:bottom w:val="double" w:sz="6" w:space="0" w:color="auto"/>
              <w:right w:val="nil"/>
            </w:tcBorders>
            <w:shd w:val="clear" w:color="000000" w:fill="D9E1F2"/>
            <w:noWrap/>
            <w:vAlign w:val="bottom"/>
            <w:hideMark/>
          </w:tcPr>
          <w:p w14:paraId="73F35D62" w14:textId="5C9186FF" w:rsidR="00485972" w:rsidRPr="009A3FE8" w:rsidRDefault="00485972" w:rsidP="00485972">
            <w:pPr>
              <w:spacing w:after="0" w:line="240" w:lineRule="auto"/>
              <w:jc w:val="center"/>
              <w:rPr>
                <w:rFonts w:ascii="Calibri" w:eastAsia="Times New Roman" w:hAnsi="Calibri" w:cs="Calibri"/>
                <w:i/>
                <w:sz w:val="17"/>
                <w:szCs w:val="17"/>
              </w:rPr>
            </w:pPr>
            <w:r>
              <w:rPr>
                <w:rFonts w:ascii="Calibri" w:eastAsia="Times New Roman" w:hAnsi="Calibri" w:cs="Calibri"/>
                <w:sz w:val="17"/>
                <w:szCs w:val="17"/>
              </w:rPr>
              <w:t>9%</w:t>
            </w:r>
          </w:p>
        </w:tc>
        <w:tc>
          <w:tcPr>
            <w:tcW w:w="1007" w:type="dxa"/>
            <w:tcBorders>
              <w:top w:val="nil"/>
              <w:left w:val="nil"/>
              <w:bottom w:val="double" w:sz="6" w:space="0" w:color="auto"/>
              <w:right w:val="nil"/>
            </w:tcBorders>
            <w:shd w:val="clear" w:color="000000" w:fill="D9E1F2"/>
            <w:noWrap/>
            <w:vAlign w:val="bottom"/>
            <w:hideMark/>
          </w:tcPr>
          <w:p w14:paraId="5A5267A5" w14:textId="2916C1AD" w:rsidR="00485972" w:rsidRPr="009A3FE8" w:rsidRDefault="00485972" w:rsidP="00485972">
            <w:pPr>
              <w:spacing w:after="0" w:line="240" w:lineRule="auto"/>
              <w:jc w:val="center"/>
              <w:rPr>
                <w:rFonts w:ascii="Calibri" w:eastAsia="Times New Roman" w:hAnsi="Calibri" w:cs="Calibri"/>
                <w:i/>
                <w:sz w:val="17"/>
                <w:szCs w:val="17"/>
              </w:rPr>
            </w:pPr>
            <w:r>
              <w:rPr>
                <w:rFonts w:ascii="Calibri" w:eastAsia="Times New Roman" w:hAnsi="Calibri" w:cs="Calibri"/>
                <w:sz w:val="17"/>
                <w:szCs w:val="17"/>
              </w:rPr>
              <w:t>21%</w:t>
            </w:r>
          </w:p>
        </w:tc>
        <w:tc>
          <w:tcPr>
            <w:tcW w:w="766" w:type="dxa"/>
            <w:tcBorders>
              <w:top w:val="nil"/>
              <w:left w:val="nil"/>
              <w:bottom w:val="double" w:sz="6" w:space="0" w:color="auto"/>
              <w:right w:val="nil"/>
            </w:tcBorders>
            <w:shd w:val="clear" w:color="000000" w:fill="D9E1F2"/>
            <w:noWrap/>
            <w:vAlign w:val="bottom"/>
            <w:hideMark/>
          </w:tcPr>
          <w:p w14:paraId="265F0646" w14:textId="44723159" w:rsidR="00485972" w:rsidRPr="009A3FE8" w:rsidRDefault="00485972" w:rsidP="00485972">
            <w:pPr>
              <w:spacing w:after="0" w:line="240" w:lineRule="auto"/>
              <w:jc w:val="center"/>
              <w:rPr>
                <w:rFonts w:ascii="Calibri" w:eastAsia="Times New Roman" w:hAnsi="Calibri" w:cs="Calibri"/>
                <w:i/>
                <w:sz w:val="17"/>
                <w:szCs w:val="17"/>
              </w:rPr>
            </w:pPr>
            <w:r>
              <w:rPr>
                <w:rFonts w:ascii="Calibri" w:eastAsia="Times New Roman" w:hAnsi="Calibri" w:cs="Calibri"/>
                <w:sz w:val="17"/>
                <w:szCs w:val="17"/>
              </w:rPr>
              <w:t>7%</w:t>
            </w:r>
          </w:p>
        </w:tc>
        <w:tc>
          <w:tcPr>
            <w:tcW w:w="258" w:type="dxa"/>
            <w:gridSpan w:val="2"/>
            <w:tcBorders>
              <w:top w:val="nil"/>
              <w:left w:val="nil"/>
              <w:bottom w:val="double" w:sz="6" w:space="0" w:color="auto"/>
              <w:right w:val="nil"/>
            </w:tcBorders>
            <w:shd w:val="clear" w:color="000000" w:fill="D9E1F2"/>
            <w:noWrap/>
            <w:vAlign w:val="bottom"/>
            <w:hideMark/>
          </w:tcPr>
          <w:p w14:paraId="26808366" w14:textId="77777777" w:rsidR="00485972" w:rsidRPr="009A3FE8" w:rsidRDefault="00485972" w:rsidP="00485972">
            <w:pPr>
              <w:spacing w:after="0" w:line="240" w:lineRule="auto"/>
              <w:jc w:val="center"/>
              <w:rPr>
                <w:rFonts w:ascii="Calibri" w:eastAsia="Times New Roman" w:hAnsi="Calibri" w:cs="Calibri"/>
                <w:i/>
                <w:sz w:val="17"/>
                <w:szCs w:val="17"/>
              </w:rPr>
            </w:pPr>
            <w:r w:rsidRPr="009A3FE8">
              <w:rPr>
                <w:rFonts w:ascii="Calibri" w:eastAsia="Times New Roman" w:hAnsi="Calibri" w:cs="Calibri"/>
                <w:i/>
                <w:sz w:val="17"/>
                <w:szCs w:val="17"/>
              </w:rPr>
              <w:t> </w:t>
            </w:r>
          </w:p>
        </w:tc>
        <w:tc>
          <w:tcPr>
            <w:tcW w:w="606" w:type="dxa"/>
            <w:gridSpan w:val="2"/>
            <w:tcBorders>
              <w:top w:val="nil"/>
              <w:left w:val="nil"/>
              <w:bottom w:val="double" w:sz="6" w:space="0" w:color="auto"/>
              <w:right w:val="nil"/>
            </w:tcBorders>
            <w:shd w:val="clear" w:color="000000" w:fill="FFFFFF"/>
            <w:noWrap/>
            <w:vAlign w:val="bottom"/>
            <w:hideMark/>
          </w:tcPr>
          <w:p w14:paraId="2B3D9CF9" w14:textId="77777777" w:rsidR="00485972" w:rsidRPr="009A3FE8" w:rsidRDefault="00485972" w:rsidP="00485972">
            <w:pPr>
              <w:spacing w:after="0" w:line="240" w:lineRule="auto"/>
              <w:jc w:val="center"/>
              <w:rPr>
                <w:rFonts w:ascii="Calibri" w:eastAsia="Times New Roman" w:hAnsi="Calibri" w:cs="Calibri"/>
                <w:i/>
                <w:sz w:val="17"/>
                <w:szCs w:val="17"/>
              </w:rPr>
            </w:pPr>
            <w:r w:rsidRPr="009A3FE8">
              <w:rPr>
                <w:rFonts w:ascii="Calibri" w:eastAsia="Times New Roman" w:hAnsi="Calibri" w:cs="Calibri"/>
                <w:i/>
                <w:sz w:val="17"/>
                <w:szCs w:val="17"/>
              </w:rPr>
              <w:t>100%</w:t>
            </w:r>
          </w:p>
        </w:tc>
      </w:tr>
    </w:tbl>
    <w:p w14:paraId="5B9CD340" w14:textId="76DBE11F" w:rsidR="005F540F" w:rsidRDefault="0008178D" w:rsidP="00B34E1E">
      <w:pPr>
        <w:pStyle w:val="ListParagraph"/>
        <w:spacing w:before="360" w:after="120" w:line="257" w:lineRule="auto"/>
        <w:ind w:left="0"/>
        <w:contextualSpacing w:val="0"/>
      </w:pPr>
      <w:r w:rsidRPr="00B93D28">
        <w:rPr>
          <w:b/>
        </w:rPr>
        <w:t>Female</w:t>
      </w:r>
      <w:r w:rsidR="00C52D54" w:rsidRPr="00B93D28">
        <w:rPr>
          <w:b/>
        </w:rPr>
        <w:t>-type</w:t>
      </w:r>
      <w:r w:rsidR="008C3022" w:rsidRPr="00B93D28">
        <w:rPr>
          <w:b/>
        </w:rPr>
        <w:t xml:space="preserve"> </w:t>
      </w:r>
      <w:r w:rsidR="00456BA6" w:rsidRPr="00B93D28">
        <w:rPr>
          <w:b/>
        </w:rPr>
        <w:t xml:space="preserve">households </w:t>
      </w:r>
      <w:r w:rsidR="0020367F" w:rsidRPr="00B93D28">
        <w:rPr>
          <w:b/>
        </w:rPr>
        <w:t xml:space="preserve">are </w:t>
      </w:r>
      <w:r w:rsidR="00622EEC" w:rsidRPr="00B93D28">
        <w:rPr>
          <w:b/>
        </w:rPr>
        <w:t>more prevalent</w:t>
      </w:r>
      <w:r w:rsidR="001F4A83" w:rsidRPr="00B93D28">
        <w:rPr>
          <w:b/>
        </w:rPr>
        <w:t xml:space="preserve"> in urban area</w:t>
      </w:r>
      <w:r w:rsidR="00607AD2" w:rsidRPr="00B93D28">
        <w:rPr>
          <w:b/>
        </w:rPr>
        <w:t>s</w:t>
      </w:r>
      <w:r w:rsidR="004B706E">
        <w:rPr>
          <w:b/>
        </w:rPr>
        <w:t xml:space="preserve"> and</w:t>
      </w:r>
      <w:r w:rsidR="00E27759">
        <w:rPr>
          <w:b/>
        </w:rPr>
        <w:t xml:space="preserve"> among domestic service workers,</w:t>
      </w:r>
      <w:r w:rsidR="004B706E">
        <w:rPr>
          <w:b/>
        </w:rPr>
        <w:t xml:space="preserve"> </w:t>
      </w:r>
      <w:r w:rsidR="00C8673B">
        <w:rPr>
          <w:b/>
        </w:rPr>
        <w:t>compared to male-type households</w:t>
      </w:r>
      <w:r w:rsidR="006A4DF7" w:rsidRPr="00B93D28">
        <w:rPr>
          <w:b/>
        </w:rPr>
        <w:t>.</w:t>
      </w:r>
      <w:r w:rsidR="00471714">
        <w:rPr>
          <w:b/>
        </w:rPr>
        <w:t xml:space="preserve"> </w:t>
      </w:r>
      <w:r w:rsidR="007D0B7B" w:rsidRPr="00CD414E">
        <w:t>Household</w:t>
      </w:r>
      <w:r w:rsidR="007D0B7B">
        <w:t>s’</w:t>
      </w:r>
      <w:r w:rsidR="007D0B7B" w:rsidRPr="00CD414E">
        <w:t xml:space="preserve"> demographic</w:t>
      </w:r>
      <w:r w:rsidR="007D0B7B">
        <w:t xml:space="preserve"> </w:t>
      </w:r>
      <w:r w:rsidR="009175EF">
        <w:t xml:space="preserve">and economic </w:t>
      </w:r>
      <w:r w:rsidR="007D0B7B" w:rsidRPr="00CD414E">
        <w:t>composition varies not only across the income distribution</w:t>
      </w:r>
      <w:r w:rsidR="00E10C5D">
        <w:t>,</w:t>
      </w:r>
      <w:r w:rsidR="007D0B7B" w:rsidRPr="00CD414E">
        <w:t xml:space="preserve"> but also across </w:t>
      </w:r>
      <w:r w:rsidR="00E72FD0">
        <w:t>several other dimensions</w:t>
      </w:r>
      <w:r w:rsidR="00BA06C0">
        <w:t xml:space="preserve"> (Annex A, Figure A1)</w:t>
      </w:r>
      <w:r w:rsidR="007D0B7B" w:rsidRPr="00CD414E">
        <w:t>. F</w:t>
      </w:r>
      <w:r w:rsidR="00E72FD0">
        <w:t>irst</w:t>
      </w:r>
      <w:r w:rsidR="007D0B7B" w:rsidRPr="00CD414E">
        <w:t xml:space="preserve">, female-type households </w:t>
      </w:r>
      <w:r w:rsidR="00B627EE">
        <w:t>(with and without childre</w:t>
      </w:r>
      <w:r w:rsidR="00C356FA">
        <w:t>n</w:t>
      </w:r>
      <w:r w:rsidR="00B627EE">
        <w:t xml:space="preserve">) </w:t>
      </w:r>
      <w:r w:rsidR="007D0B7B" w:rsidRPr="00CD414E">
        <w:t xml:space="preserve">are more prevalent </w:t>
      </w:r>
      <w:r w:rsidR="00193DC2">
        <w:t>among the</w:t>
      </w:r>
      <w:r w:rsidR="007D0B7B" w:rsidRPr="00CD414E">
        <w:t xml:space="preserve"> urban (</w:t>
      </w:r>
      <w:r w:rsidR="00D929FB">
        <w:t>13.2</w:t>
      </w:r>
      <w:r w:rsidR="007D0B7B" w:rsidRPr="00CD414E">
        <w:t xml:space="preserve"> percent) than </w:t>
      </w:r>
      <w:r w:rsidR="00905D62">
        <w:t>the</w:t>
      </w:r>
      <w:r w:rsidR="007D0B7B" w:rsidRPr="00CD414E">
        <w:t xml:space="preserve"> rural </w:t>
      </w:r>
      <w:r w:rsidR="00905D62">
        <w:t>population</w:t>
      </w:r>
      <w:r w:rsidR="007D0B7B" w:rsidRPr="00CD414E">
        <w:t xml:space="preserve"> (</w:t>
      </w:r>
      <w:r w:rsidR="00C1685B">
        <w:t>4.3</w:t>
      </w:r>
      <w:r w:rsidR="007D0B7B" w:rsidRPr="00CD414E">
        <w:t xml:space="preserve"> percent)</w:t>
      </w:r>
      <w:r w:rsidR="001E37E2">
        <w:t>, whereas t</w:t>
      </w:r>
      <w:r w:rsidR="00A725E5">
        <w:t xml:space="preserve">he share of male-type households </w:t>
      </w:r>
      <w:r w:rsidR="004439F0">
        <w:t>does not vary significantly</w:t>
      </w:r>
      <w:r w:rsidR="00F4609A">
        <w:t xml:space="preserve"> </w:t>
      </w:r>
      <w:r w:rsidR="004B27C8">
        <w:t>between</w:t>
      </w:r>
      <w:r w:rsidR="00F4609A">
        <w:t xml:space="preserve"> both </w:t>
      </w:r>
      <w:r w:rsidR="001E2539">
        <w:t xml:space="preserve">geographic areas </w:t>
      </w:r>
      <w:r w:rsidR="003D5DBE">
        <w:t>(Figure 4)</w:t>
      </w:r>
      <w:r w:rsidR="004439F0">
        <w:t>.</w:t>
      </w:r>
      <w:r w:rsidR="00E164FF">
        <w:t xml:space="preserve"> </w:t>
      </w:r>
      <w:r w:rsidR="00AE11E7">
        <w:t>Still</w:t>
      </w:r>
      <w:r w:rsidR="00E060BC">
        <w:t xml:space="preserve">, </w:t>
      </w:r>
      <w:r w:rsidR="00677D40" w:rsidRPr="003C7D03">
        <w:t xml:space="preserve">households where </w:t>
      </w:r>
      <w:r w:rsidR="001368CD" w:rsidRPr="00F73B7C">
        <w:t xml:space="preserve">only men work or where </w:t>
      </w:r>
      <w:r w:rsidR="00D3370A" w:rsidRPr="0023287E">
        <w:t>men</w:t>
      </w:r>
      <w:r w:rsidR="00677D40" w:rsidRPr="0023287E">
        <w:t xml:space="preserve"> are the main </w:t>
      </w:r>
      <w:r w:rsidR="00677D40" w:rsidRPr="005102C0">
        <w:t xml:space="preserve">income </w:t>
      </w:r>
      <w:r w:rsidR="00C6634B">
        <w:t>providers</w:t>
      </w:r>
      <w:r w:rsidR="000E5A6F" w:rsidRPr="003C7D03">
        <w:t xml:space="preserve"> are overrepresented in rural areas</w:t>
      </w:r>
      <w:r w:rsidR="00072272" w:rsidRPr="003C7D03">
        <w:t xml:space="preserve"> (</w:t>
      </w:r>
      <w:r w:rsidR="003E22D4">
        <w:t>70</w:t>
      </w:r>
      <w:r w:rsidR="004F3B8A" w:rsidRPr="00D16590">
        <w:t>.</w:t>
      </w:r>
      <w:r w:rsidR="0001380A">
        <w:t>4</w:t>
      </w:r>
      <w:r w:rsidR="0001380A" w:rsidRPr="00D16590">
        <w:t xml:space="preserve"> </w:t>
      </w:r>
      <w:r w:rsidR="003648EC" w:rsidRPr="00D16590">
        <w:t>percent</w:t>
      </w:r>
      <w:r w:rsidR="00431918">
        <w:t xml:space="preserve"> compared to </w:t>
      </w:r>
      <w:r w:rsidR="00911F0E">
        <w:t>52.1</w:t>
      </w:r>
      <w:r w:rsidR="00431918">
        <w:t xml:space="preserve"> percent in urban areas</w:t>
      </w:r>
      <w:r w:rsidR="00072272" w:rsidRPr="00D16590">
        <w:t>)</w:t>
      </w:r>
      <w:r w:rsidR="007E7797" w:rsidRPr="00D16590">
        <w:t>.</w:t>
      </w:r>
      <w:r w:rsidR="00E72FD0">
        <w:t xml:space="preserve"> Second, </w:t>
      </w:r>
      <w:r w:rsidR="00241D74">
        <w:t xml:space="preserve">informal workers </w:t>
      </w:r>
      <w:r w:rsidR="004F7EBB">
        <w:t xml:space="preserve">tend to </w:t>
      </w:r>
      <w:r w:rsidR="00D37182">
        <w:t>live in</w:t>
      </w:r>
      <w:r w:rsidR="00551DC2" w:rsidRPr="00D16590">
        <w:t xml:space="preserve"> </w:t>
      </w:r>
      <w:r w:rsidR="00551DC2">
        <w:t xml:space="preserve">single earning </w:t>
      </w:r>
      <w:r w:rsidR="00D37182">
        <w:t xml:space="preserve">households </w:t>
      </w:r>
      <w:r w:rsidR="003D4AD0">
        <w:t xml:space="preserve">in a higher proportion than </w:t>
      </w:r>
      <w:r w:rsidR="00AC11B2">
        <w:t>formal</w:t>
      </w:r>
      <w:r w:rsidR="00202056">
        <w:t xml:space="preserve"> </w:t>
      </w:r>
      <w:r w:rsidR="00D37182">
        <w:t>workers</w:t>
      </w:r>
      <w:r w:rsidR="003D4AD0">
        <w:t xml:space="preserve"> (</w:t>
      </w:r>
      <w:r w:rsidR="003B7651">
        <w:t>45</w:t>
      </w:r>
      <w:r w:rsidR="007D7F51">
        <w:t>.</w:t>
      </w:r>
      <w:r w:rsidR="003B7651">
        <w:t>3</w:t>
      </w:r>
      <w:r w:rsidR="00E40DD7">
        <w:t xml:space="preserve"> and </w:t>
      </w:r>
      <w:r w:rsidR="0046610D">
        <w:t>36</w:t>
      </w:r>
      <w:r w:rsidR="00A45B2C">
        <w:t>.</w:t>
      </w:r>
      <w:r w:rsidR="0046610D">
        <w:t>1</w:t>
      </w:r>
      <w:r w:rsidR="00A45B2C">
        <w:t xml:space="preserve"> </w:t>
      </w:r>
      <w:r w:rsidR="00E40DD7">
        <w:t>percent respectively</w:t>
      </w:r>
      <w:r w:rsidR="003D4AD0">
        <w:t xml:space="preserve">), though the classification by gender does not show relevant differences. </w:t>
      </w:r>
      <w:r w:rsidR="00E36ABE" w:rsidRPr="009254E7">
        <w:t xml:space="preserve">Third, </w:t>
      </w:r>
      <w:r w:rsidR="00A15241" w:rsidRPr="009254E7">
        <w:t>individuals in female-type households are more likely to work in the tertiary sector</w:t>
      </w:r>
      <w:r w:rsidR="00DF0493" w:rsidRPr="009254E7">
        <w:t>, whereas t</w:t>
      </w:r>
      <w:r w:rsidR="00A65AF9" w:rsidRPr="009254E7">
        <w:t>hose in male-type households</w:t>
      </w:r>
      <w:r w:rsidR="00DF0493" w:rsidRPr="009254E7">
        <w:t xml:space="preserve"> </w:t>
      </w:r>
      <w:r w:rsidR="00647FAC" w:rsidRPr="009254E7">
        <w:t>are more likely to</w:t>
      </w:r>
      <w:r w:rsidR="00C1467A" w:rsidRPr="009254E7">
        <w:t xml:space="preserve"> engage in primary </w:t>
      </w:r>
      <w:r w:rsidR="00AB303D" w:rsidRPr="009254E7">
        <w:t xml:space="preserve">and secondary </w:t>
      </w:r>
      <w:r w:rsidR="00C1467A" w:rsidRPr="009254E7">
        <w:t xml:space="preserve">sector </w:t>
      </w:r>
      <w:r w:rsidR="00C1467A" w:rsidRPr="00C77208">
        <w:t>activities</w:t>
      </w:r>
      <w:r w:rsidR="00E36ABE" w:rsidRPr="00C77208">
        <w:t>.</w:t>
      </w:r>
      <w:r w:rsidR="00C1467A" w:rsidRPr="00C77208">
        <w:t xml:space="preserve"> </w:t>
      </w:r>
      <w:r w:rsidR="00D95815" w:rsidRPr="00C77208">
        <w:t>F</w:t>
      </w:r>
      <w:r w:rsidR="00C1467A" w:rsidRPr="00C77208">
        <w:t xml:space="preserve">emale-type households are </w:t>
      </w:r>
      <w:r w:rsidR="00C60A80" w:rsidRPr="00C77208">
        <w:t>particularly</w:t>
      </w:r>
      <w:r w:rsidR="00C1467A" w:rsidRPr="00C77208">
        <w:t xml:space="preserve"> overrepresented among </w:t>
      </w:r>
      <w:r w:rsidR="005E527F" w:rsidRPr="00C77208">
        <w:t>domestic service workers</w:t>
      </w:r>
      <w:r w:rsidR="00FB1B86" w:rsidRPr="00C77208">
        <w:t xml:space="preserve"> (</w:t>
      </w:r>
      <w:r w:rsidR="0017618D">
        <w:t>21.0</w:t>
      </w:r>
      <w:r w:rsidR="005F2B01" w:rsidRPr="00C77208">
        <w:t xml:space="preserve"> </w:t>
      </w:r>
      <w:r w:rsidR="00D26280" w:rsidRPr="00C77208">
        <w:t xml:space="preserve">percent </w:t>
      </w:r>
      <w:r w:rsidR="0017618D">
        <w:t xml:space="preserve">live </w:t>
      </w:r>
      <w:r w:rsidR="005E4EA2" w:rsidRPr="00C77208">
        <w:t xml:space="preserve">in female-type households, </w:t>
      </w:r>
      <w:r w:rsidR="00D26280" w:rsidRPr="00C77208">
        <w:t xml:space="preserve">versus </w:t>
      </w:r>
      <w:r w:rsidR="0017618D">
        <w:t>1.8</w:t>
      </w:r>
      <w:r w:rsidR="0017618D" w:rsidRPr="00C77208">
        <w:t xml:space="preserve"> </w:t>
      </w:r>
      <w:r w:rsidR="00D26280" w:rsidRPr="00C77208">
        <w:t xml:space="preserve">percent </w:t>
      </w:r>
      <w:r w:rsidR="005E4EA2" w:rsidRPr="00C77208">
        <w:t xml:space="preserve">in </w:t>
      </w:r>
      <w:r w:rsidR="00D26280" w:rsidRPr="00C77208">
        <w:t>male-type households</w:t>
      </w:r>
      <w:r w:rsidR="00FB1B86" w:rsidRPr="00C77208">
        <w:t>)</w:t>
      </w:r>
      <w:r w:rsidR="005E527F" w:rsidRPr="00C77208">
        <w:t>.</w:t>
      </w:r>
      <w:r w:rsidR="00E36ABE">
        <w:t xml:space="preserve"> </w:t>
      </w:r>
      <w:r w:rsidR="00AC5596">
        <w:t>Fifth</w:t>
      </w:r>
      <w:r w:rsidR="003D4AD0">
        <w:t>,</w:t>
      </w:r>
      <w:r w:rsidR="00CF1BA4">
        <w:t xml:space="preserve"> </w:t>
      </w:r>
      <w:r w:rsidR="006A6376">
        <w:t xml:space="preserve">households </w:t>
      </w:r>
      <w:r w:rsidR="00CB57A5">
        <w:t>in which</w:t>
      </w:r>
      <w:r w:rsidR="006A6376">
        <w:t xml:space="preserve"> only women work are more prevalent among higher-educated </w:t>
      </w:r>
      <w:r w:rsidR="0068382D">
        <w:t xml:space="preserve">individuals </w:t>
      </w:r>
      <w:r w:rsidR="006849C9" w:rsidRPr="001814F0">
        <w:t>(</w:t>
      </w:r>
      <w:r w:rsidR="00194D84" w:rsidRPr="001814F0">
        <w:t>1</w:t>
      </w:r>
      <w:r w:rsidR="002C795F">
        <w:t>6</w:t>
      </w:r>
      <w:r w:rsidR="00194D84" w:rsidRPr="001814F0">
        <w:t xml:space="preserve"> percent</w:t>
      </w:r>
      <w:r w:rsidR="006849C9">
        <w:t>)</w:t>
      </w:r>
      <w:r w:rsidR="00194D84">
        <w:t xml:space="preserve"> than </w:t>
      </w:r>
      <w:r w:rsidR="00976331">
        <w:t>among</w:t>
      </w:r>
      <w:r w:rsidR="00194D84">
        <w:t xml:space="preserve"> </w:t>
      </w:r>
      <w:r w:rsidR="0068382D">
        <w:t>the non-tertiary</w:t>
      </w:r>
      <w:r w:rsidR="00194D84">
        <w:t xml:space="preserve"> educated </w:t>
      </w:r>
      <w:r w:rsidR="00194D84" w:rsidRPr="001814F0">
        <w:t>(</w:t>
      </w:r>
      <w:r w:rsidR="00957E2F" w:rsidRPr="001814F0">
        <w:t>1</w:t>
      </w:r>
      <w:r w:rsidR="000D792A">
        <w:t>3</w:t>
      </w:r>
      <w:r w:rsidR="00957E2F">
        <w:t xml:space="preserve"> percent</w:t>
      </w:r>
      <w:r w:rsidR="00194D84">
        <w:t>)</w:t>
      </w:r>
      <w:r w:rsidR="006A6376">
        <w:t>, where</w:t>
      </w:r>
      <w:r w:rsidR="00A068CC">
        <w:t xml:space="preserve">as </w:t>
      </w:r>
      <w:r w:rsidR="00BA71EC">
        <w:t xml:space="preserve">households in which only men work tend to be </w:t>
      </w:r>
      <w:r w:rsidR="004959FB">
        <w:t xml:space="preserve">overrepresented among </w:t>
      </w:r>
      <w:r w:rsidR="0068382D">
        <w:t>the less</w:t>
      </w:r>
      <w:r w:rsidR="004959FB" w:rsidRPr="001814F0">
        <w:t xml:space="preserve"> educated </w:t>
      </w:r>
      <w:r w:rsidR="00BA71EC" w:rsidRPr="001814F0">
        <w:t>(</w:t>
      </w:r>
      <w:r w:rsidR="00425ED1" w:rsidRPr="001814F0">
        <w:t>2</w:t>
      </w:r>
      <w:r w:rsidR="00425ED1">
        <w:t xml:space="preserve">7.6 </w:t>
      </w:r>
      <w:r w:rsidR="00C430DA">
        <w:t>percent</w:t>
      </w:r>
      <w:r w:rsidR="00FA5BC1">
        <w:t xml:space="preserve"> compared to </w:t>
      </w:r>
      <w:r w:rsidR="00820E83">
        <w:t xml:space="preserve">15.7 </w:t>
      </w:r>
      <w:r w:rsidR="00FA5BC1">
        <w:t xml:space="preserve">percent of </w:t>
      </w:r>
      <w:r w:rsidR="00B40C0A">
        <w:t xml:space="preserve">the </w:t>
      </w:r>
      <w:r w:rsidR="00C00115">
        <w:t>tertiary-educated</w:t>
      </w:r>
      <w:r w:rsidR="00BA71EC">
        <w:t>).</w:t>
      </w:r>
    </w:p>
    <w:p w14:paraId="47F187C6" w14:textId="03E091A0" w:rsidR="00E938A1" w:rsidRDefault="00E938A1" w:rsidP="00E938A1">
      <w:pPr>
        <w:pStyle w:val="Caption"/>
        <w:keepNext/>
        <w:jc w:val="center"/>
        <w:rPr>
          <w:sz w:val="22"/>
          <w:szCs w:val="22"/>
        </w:rPr>
      </w:pPr>
      <w:bookmarkStart w:id="10" w:name="_Ref102049031"/>
      <w:r w:rsidRPr="00E938A1">
        <w:rPr>
          <w:sz w:val="22"/>
          <w:szCs w:val="22"/>
        </w:rPr>
        <w:t xml:space="preserve">Figure </w:t>
      </w:r>
      <w:r w:rsidRPr="00E938A1">
        <w:rPr>
          <w:sz w:val="22"/>
          <w:szCs w:val="22"/>
        </w:rPr>
        <w:fldChar w:fldCharType="begin"/>
      </w:r>
      <w:r w:rsidRPr="00E938A1">
        <w:rPr>
          <w:sz w:val="22"/>
          <w:szCs w:val="22"/>
        </w:rPr>
        <w:instrText xml:space="preserve"> SEQ Figure \* ARABIC </w:instrText>
      </w:r>
      <w:r w:rsidRPr="00E938A1">
        <w:rPr>
          <w:sz w:val="22"/>
          <w:szCs w:val="22"/>
        </w:rPr>
        <w:fldChar w:fldCharType="separate"/>
      </w:r>
      <w:r w:rsidR="00B91265">
        <w:rPr>
          <w:noProof/>
          <w:sz w:val="22"/>
          <w:szCs w:val="22"/>
        </w:rPr>
        <w:t>4</w:t>
      </w:r>
      <w:r w:rsidRPr="00E938A1">
        <w:rPr>
          <w:sz w:val="22"/>
          <w:szCs w:val="22"/>
        </w:rPr>
        <w:fldChar w:fldCharType="end"/>
      </w:r>
      <w:bookmarkEnd w:id="10"/>
      <w:r w:rsidRPr="00E938A1">
        <w:rPr>
          <w:sz w:val="22"/>
          <w:szCs w:val="22"/>
        </w:rPr>
        <w:t>. Characteristics of Households</w:t>
      </w:r>
    </w:p>
    <w:p w14:paraId="593F60D2" w14:textId="15A681B0" w:rsidR="00005682" w:rsidRPr="00005682" w:rsidRDefault="00E37DFC" w:rsidP="00005682">
      <w:pPr>
        <w:jc w:val="center"/>
      </w:pPr>
      <w:r>
        <w:t xml:space="preserve">(Prevalence of household types across </w:t>
      </w:r>
      <w:r w:rsidR="00F42571">
        <w:t xml:space="preserve">selected </w:t>
      </w:r>
      <w:r>
        <w:t>population groups)</w:t>
      </w:r>
    </w:p>
    <w:p w14:paraId="39B6EDAA" w14:textId="38A5AF51" w:rsidR="008A3544" w:rsidRPr="008A3544" w:rsidRDefault="008A3544" w:rsidP="008A3544">
      <w:pPr>
        <w:pStyle w:val="Caption"/>
        <w:keepNext/>
        <w:jc w:val="center"/>
        <w:rPr>
          <w:sz w:val="22"/>
          <w:szCs w:val="22"/>
        </w:rPr>
      </w:pPr>
      <w:r>
        <w:rPr>
          <w:sz w:val="22"/>
          <w:szCs w:val="22"/>
        </w:rPr>
        <w:lastRenderedPageBreak/>
        <w:t xml:space="preserve">Panel A. Demographic </w:t>
      </w:r>
      <w:r w:rsidR="005B71F1">
        <w:rPr>
          <w:sz w:val="22"/>
          <w:szCs w:val="22"/>
        </w:rPr>
        <w:t>Typology</w:t>
      </w:r>
    </w:p>
    <w:p w14:paraId="563AE56C" w14:textId="52DDA43C" w:rsidR="007D6CAA" w:rsidRDefault="00556B65" w:rsidP="00376698">
      <w:pPr>
        <w:jc w:val="center"/>
      </w:pPr>
      <w:r>
        <w:rPr>
          <w:noProof/>
        </w:rPr>
        <w:drawing>
          <wp:inline distT="0" distB="0" distL="0" distR="0" wp14:anchorId="1BF27754" wp14:editId="78F5B993">
            <wp:extent cx="5943600" cy="3871595"/>
            <wp:effectExtent l="0" t="0" r="0" b="0"/>
            <wp:docPr id="7" name="Chart 7">
              <a:extLst xmlns:a="http://schemas.openxmlformats.org/drawingml/2006/main">
                <a:ext uri="{FF2B5EF4-FFF2-40B4-BE49-F238E27FC236}">
                  <a16:creationId xmlns:a16="http://schemas.microsoft.com/office/drawing/2014/main" id="{15D4BF47-45B9-4A75-A779-AB79AB65CE8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1C59A6B" w14:textId="4A3EBB50" w:rsidR="008A3544" w:rsidRPr="008A3544" w:rsidRDefault="008A3544" w:rsidP="008A3544">
      <w:pPr>
        <w:pStyle w:val="Caption"/>
        <w:keepNext/>
        <w:jc w:val="center"/>
        <w:rPr>
          <w:sz w:val="22"/>
          <w:szCs w:val="22"/>
        </w:rPr>
      </w:pPr>
      <w:r>
        <w:rPr>
          <w:sz w:val="22"/>
          <w:szCs w:val="22"/>
        </w:rPr>
        <w:t xml:space="preserve">Panel B. Economic </w:t>
      </w:r>
      <w:r w:rsidR="005B71F1">
        <w:rPr>
          <w:sz w:val="22"/>
          <w:szCs w:val="22"/>
        </w:rPr>
        <w:t>Typology</w:t>
      </w:r>
    </w:p>
    <w:p w14:paraId="58264F2D" w14:textId="6C22E53B" w:rsidR="00373463" w:rsidRDefault="00E821BD" w:rsidP="00373463">
      <w:pPr>
        <w:jc w:val="center"/>
      </w:pPr>
      <w:r>
        <w:rPr>
          <w:noProof/>
        </w:rPr>
        <w:drawing>
          <wp:inline distT="0" distB="0" distL="0" distR="0" wp14:anchorId="6F7B4375" wp14:editId="65357E91">
            <wp:extent cx="6177516" cy="3348990"/>
            <wp:effectExtent l="0" t="0" r="0" b="3810"/>
            <wp:docPr id="55" name="Chart 55">
              <a:extLst xmlns:a="http://schemas.openxmlformats.org/drawingml/2006/main">
                <a:ext uri="{FF2B5EF4-FFF2-40B4-BE49-F238E27FC236}">
                  <a16:creationId xmlns:a16="http://schemas.microsoft.com/office/drawing/2014/main" id="{FDF24445-B566-4756-9601-FDFD12498E1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0D8E8B9" w14:textId="0997A47A" w:rsidR="00570155" w:rsidRDefault="009B35C4" w:rsidP="00DA177A">
      <w:pPr>
        <w:pStyle w:val="Heading3"/>
        <w:numPr>
          <w:ilvl w:val="1"/>
          <w:numId w:val="5"/>
        </w:numPr>
      </w:pPr>
      <w:bookmarkStart w:id="11" w:name="_Toc136425145"/>
      <w:r w:rsidRPr="00C93DA0">
        <w:lastRenderedPageBreak/>
        <w:t xml:space="preserve">Fiscal </w:t>
      </w:r>
      <w:proofErr w:type="gramStart"/>
      <w:r w:rsidRPr="00C93DA0">
        <w:t>incidence</w:t>
      </w:r>
      <w:proofErr w:type="gramEnd"/>
      <w:r w:rsidRPr="00C93DA0">
        <w:t xml:space="preserve"> analysis</w:t>
      </w:r>
      <w:bookmarkEnd w:id="11"/>
    </w:p>
    <w:p w14:paraId="2D64A842" w14:textId="77777777" w:rsidR="00DA177A" w:rsidRPr="00DA177A" w:rsidRDefault="00DA177A" w:rsidP="00DA177A">
      <w:pPr>
        <w:rPr>
          <w:highlight w:val="yellow"/>
        </w:rPr>
      </w:pPr>
    </w:p>
    <w:p w14:paraId="05AD7D84" w14:textId="6B0D20FF" w:rsidR="000863E3" w:rsidRDefault="00982B08" w:rsidP="00F41A74">
      <w:pPr>
        <w:spacing w:before="120" w:after="120" w:line="257" w:lineRule="auto"/>
      </w:pPr>
      <w:r w:rsidRPr="00982B08">
        <w:t xml:space="preserve">This section explores the incidence of direct taxes and transfers and their contribution to poverty reduction across </w:t>
      </w:r>
      <w:r w:rsidR="006A00C3">
        <w:t>selected</w:t>
      </w:r>
      <w:r w:rsidR="006A0FED">
        <w:t xml:space="preserve"> </w:t>
      </w:r>
      <w:r w:rsidRPr="00982B08">
        <w:t xml:space="preserve">household types. </w:t>
      </w:r>
      <w:proofErr w:type="gramStart"/>
      <w:r w:rsidR="003970D0">
        <w:t>In particular</w:t>
      </w:r>
      <w:r w:rsidR="003970D0" w:rsidRPr="00982B08">
        <w:t>, we</w:t>
      </w:r>
      <w:proofErr w:type="gramEnd"/>
      <w:r w:rsidR="003970D0" w:rsidRPr="00982B08">
        <w:t xml:space="preserve"> </w:t>
      </w:r>
      <w:r w:rsidR="003970D0">
        <w:t xml:space="preserve">focus on the following family arrangements: female single-person households, female single-parent households, and couples with and without children where either both sexes work </w:t>
      </w:r>
      <w:proofErr w:type="gramStart"/>
      <w:r w:rsidR="003970D0">
        <w:t>or</w:t>
      </w:r>
      <w:proofErr w:type="gramEnd"/>
      <w:r w:rsidR="003970D0">
        <w:t xml:space="preserve"> only men work</w:t>
      </w:r>
      <w:r w:rsidR="003970D0" w:rsidRPr="00C42EB6">
        <w:t>.</w:t>
      </w:r>
    </w:p>
    <w:p w14:paraId="11B1EF5A" w14:textId="51B722AB" w:rsidR="003053C6" w:rsidRDefault="009F4CB3" w:rsidP="00F41A74">
      <w:pPr>
        <w:spacing w:before="120" w:after="120" w:line="257" w:lineRule="auto"/>
      </w:pPr>
      <w:r w:rsidRPr="002C1E48">
        <w:rPr>
          <w:b/>
          <w:bCs/>
        </w:rPr>
        <w:t xml:space="preserve">Households’ demographic and economic characteristics help explain why some </w:t>
      </w:r>
      <w:r w:rsidR="00C46B8C" w:rsidRPr="002C1E48">
        <w:rPr>
          <w:b/>
          <w:bCs/>
        </w:rPr>
        <w:t xml:space="preserve">households pay more taxes </w:t>
      </w:r>
      <w:r w:rsidR="00913324" w:rsidRPr="002C1E48">
        <w:rPr>
          <w:b/>
          <w:bCs/>
        </w:rPr>
        <w:t>or</w:t>
      </w:r>
      <w:r w:rsidR="00435BA0" w:rsidRPr="002C1E48">
        <w:rPr>
          <w:b/>
          <w:bCs/>
        </w:rPr>
        <w:t xml:space="preserve"> receive more</w:t>
      </w:r>
      <w:r w:rsidR="00C63B1C" w:rsidRPr="002C1E48">
        <w:rPr>
          <w:b/>
          <w:bCs/>
        </w:rPr>
        <w:t xml:space="preserve"> government</w:t>
      </w:r>
      <w:r w:rsidR="00435BA0" w:rsidRPr="002C1E48">
        <w:rPr>
          <w:b/>
          <w:bCs/>
        </w:rPr>
        <w:t xml:space="preserve"> transfers</w:t>
      </w:r>
      <w:r w:rsidR="00913324" w:rsidRPr="002C1E48">
        <w:rPr>
          <w:b/>
          <w:bCs/>
        </w:rPr>
        <w:t xml:space="preserve"> than others</w:t>
      </w:r>
      <w:r w:rsidR="00435BA0" w:rsidRPr="002C1E48">
        <w:rPr>
          <w:b/>
          <w:bCs/>
        </w:rPr>
        <w:t>.</w:t>
      </w:r>
      <w:r w:rsidR="00DF5446">
        <w:t xml:space="preserve"> Gender gaps in labor market participation, wages, </w:t>
      </w:r>
      <w:r w:rsidR="00055337">
        <w:t>occupation,</w:t>
      </w:r>
      <w:r w:rsidR="00DF5446">
        <w:t xml:space="preserve"> and time use,</w:t>
      </w:r>
      <w:r w:rsidR="007C455C">
        <w:t xml:space="preserve"> for example, influence the burden of direct taxes (such as personal income tax) that </w:t>
      </w:r>
      <w:r w:rsidR="008319D0">
        <w:t>the household</w:t>
      </w:r>
      <w:r w:rsidR="007C455C">
        <w:t xml:space="preserve"> </w:t>
      </w:r>
      <w:proofErr w:type="gramStart"/>
      <w:r w:rsidR="00673913">
        <w:t>bear</w:t>
      </w:r>
      <w:proofErr w:type="gramEnd"/>
      <w:r w:rsidR="007C455C">
        <w:t>.</w:t>
      </w:r>
      <w:r w:rsidR="0045540B">
        <w:t xml:space="preserve"> </w:t>
      </w:r>
      <w:bookmarkStart w:id="12" w:name="_Hlk196447977"/>
      <w:r w:rsidR="00A752A1">
        <w:t xml:space="preserve">The </w:t>
      </w:r>
      <w:r w:rsidR="000968A2">
        <w:t>incidence</w:t>
      </w:r>
      <w:r w:rsidR="00A752A1">
        <w:t xml:space="preserve"> of direct </w:t>
      </w:r>
      <w:r w:rsidR="007C1CBF">
        <w:t>fiscal policies</w:t>
      </w:r>
      <w:r w:rsidR="00A752A1">
        <w:t xml:space="preserve"> depend</w:t>
      </w:r>
      <w:r w:rsidR="00974A21">
        <w:t xml:space="preserve">s </w:t>
      </w:r>
      <w:r w:rsidR="00921F47">
        <w:t xml:space="preserve">in large part </w:t>
      </w:r>
      <w:r w:rsidR="00974A21">
        <w:t xml:space="preserve">on </w:t>
      </w:r>
      <w:r w:rsidR="0020019B">
        <w:t>households’ total income</w:t>
      </w:r>
      <w:r w:rsidR="008D7E82">
        <w:t>,</w:t>
      </w:r>
      <w:r w:rsidR="0020019B">
        <w:t xml:space="preserve"> </w:t>
      </w:r>
      <w:r w:rsidR="00B81F02">
        <w:t>as well as on</w:t>
      </w:r>
      <w:r w:rsidR="0020019B">
        <w:t xml:space="preserve"> the source</w:t>
      </w:r>
      <w:r w:rsidR="0073304F">
        <w:t>s</w:t>
      </w:r>
      <w:r w:rsidR="0020019B">
        <w:t xml:space="preserve"> of that income</w:t>
      </w:r>
      <w:r w:rsidR="00974A21">
        <w:t>.</w:t>
      </w:r>
      <w:r w:rsidR="0020019B">
        <w:t xml:space="preserve"> For instance, </w:t>
      </w:r>
      <w:r w:rsidR="006928A9">
        <w:t>wages are taxed at higher rates than old-age pensions.</w:t>
      </w:r>
      <w:r w:rsidR="00974A21">
        <w:t xml:space="preserve"> </w:t>
      </w:r>
      <w:r w:rsidR="00BE3746" w:rsidRPr="002443D0">
        <w:rPr>
          <w:highlight w:val="yellow"/>
        </w:rPr>
        <w:t>To</w:t>
      </w:r>
      <w:r w:rsidR="00A46B02" w:rsidRPr="002443D0">
        <w:rPr>
          <w:highlight w:val="yellow"/>
        </w:rPr>
        <w:t xml:space="preserve"> compare </w:t>
      </w:r>
      <w:r w:rsidR="00505603" w:rsidRPr="002443D0">
        <w:rPr>
          <w:highlight w:val="yellow"/>
        </w:rPr>
        <w:t>the incidence of the fiscal system</w:t>
      </w:r>
      <w:r w:rsidR="00A46B02" w:rsidRPr="002443D0">
        <w:rPr>
          <w:highlight w:val="yellow"/>
        </w:rPr>
        <w:t xml:space="preserve"> </w:t>
      </w:r>
      <w:r w:rsidR="00CF30A8" w:rsidRPr="002443D0">
        <w:rPr>
          <w:highlight w:val="yellow"/>
        </w:rPr>
        <w:t>across</w:t>
      </w:r>
      <w:r w:rsidR="00A46B02" w:rsidRPr="002443D0">
        <w:rPr>
          <w:highlight w:val="yellow"/>
        </w:rPr>
        <w:t xml:space="preserve"> household</w:t>
      </w:r>
      <w:r w:rsidR="00CF30A8" w:rsidRPr="002443D0">
        <w:rPr>
          <w:highlight w:val="yellow"/>
        </w:rPr>
        <w:t xml:space="preserve"> types</w:t>
      </w:r>
      <w:r w:rsidR="00A46B02" w:rsidRPr="002443D0">
        <w:rPr>
          <w:highlight w:val="yellow"/>
        </w:rPr>
        <w:t xml:space="preserve">, </w:t>
      </w:r>
      <w:r w:rsidR="00C350B0" w:rsidRPr="002443D0">
        <w:rPr>
          <w:highlight w:val="yellow"/>
        </w:rPr>
        <w:t>we</w:t>
      </w:r>
      <w:r w:rsidR="007214CA" w:rsidRPr="002443D0">
        <w:rPr>
          <w:highlight w:val="yellow"/>
        </w:rPr>
        <w:t xml:space="preserve"> </w:t>
      </w:r>
      <w:r w:rsidR="006E4D51" w:rsidRPr="002443D0">
        <w:rPr>
          <w:highlight w:val="yellow"/>
        </w:rPr>
        <w:t>exclude from the analysis</w:t>
      </w:r>
      <w:r w:rsidR="00DC7227" w:rsidRPr="002443D0">
        <w:rPr>
          <w:highlight w:val="yellow"/>
        </w:rPr>
        <w:t xml:space="preserve"> </w:t>
      </w:r>
      <w:r w:rsidR="009A3FF7" w:rsidRPr="002443D0">
        <w:rPr>
          <w:highlight w:val="yellow"/>
        </w:rPr>
        <w:t>households whose</w:t>
      </w:r>
      <w:r w:rsidR="00E779C1" w:rsidRPr="002443D0">
        <w:rPr>
          <w:highlight w:val="yellow"/>
        </w:rPr>
        <w:t xml:space="preserve"> </w:t>
      </w:r>
      <w:r w:rsidR="009A3FF7" w:rsidRPr="002443D0">
        <w:rPr>
          <w:highlight w:val="yellow"/>
        </w:rPr>
        <w:t xml:space="preserve">head or spouse </w:t>
      </w:r>
      <w:r w:rsidR="005A07F8" w:rsidRPr="002443D0">
        <w:rPr>
          <w:highlight w:val="yellow"/>
        </w:rPr>
        <w:t>is</w:t>
      </w:r>
      <w:r w:rsidR="009A3FF7" w:rsidRPr="002443D0">
        <w:rPr>
          <w:highlight w:val="yellow"/>
        </w:rPr>
        <w:t xml:space="preserve"> a pensioner</w:t>
      </w:r>
      <w:bookmarkEnd w:id="12"/>
      <w:r w:rsidR="008F6334">
        <w:t>.</w:t>
      </w:r>
      <w:r w:rsidR="00E4601E">
        <w:t xml:space="preserve"> </w:t>
      </w:r>
      <w:r w:rsidR="0045540B">
        <w:t xml:space="preserve"> </w:t>
      </w:r>
      <w:r w:rsidR="007C455C">
        <w:t xml:space="preserve"> </w:t>
      </w:r>
    </w:p>
    <w:p w14:paraId="11587A98" w14:textId="441401CF" w:rsidR="009847B8" w:rsidRDefault="001C249E" w:rsidP="00F41A74">
      <w:pPr>
        <w:spacing w:before="120" w:after="120" w:line="257" w:lineRule="auto"/>
      </w:pPr>
      <w:r w:rsidRPr="002C1E48">
        <w:rPr>
          <w:b/>
          <w:bCs/>
        </w:rPr>
        <w:t>The net impact of the fiscal system</w:t>
      </w:r>
      <w:r w:rsidR="00CB1D41" w:rsidRPr="002C1E48">
        <w:rPr>
          <w:b/>
          <w:bCs/>
        </w:rPr>
        <w:t xml:space="preserve"> </w:t>
      </w:r>
      <w:r w:rsidR="005B749F" w:rsidRPr="002C1E48">
        <w:rPr>
          <w:b/>
          <w:bCs/>
        </w:rPr>
        <w:t xml:space="preserve">is negative </w:t>
      </w:r>
      <w:r w:rsidR="00BF6DDA">
        <w:rPr>
          <w:b/>
          <w:bCs/>
        </w:rPr>
        <w:t>across</w:t>
      </w:r>
      <w:r w:rsidR="005B749F" w:rsidRPr="002C1E48">
        <w:rPr>
          <w:b/>
          <w:bCs/>
        </w:rPr>
        <w:t xml:space="preserve"> all household types</w:t>
      </w:r>
      <w:r w:rsidR="00C52A6A">
        <w:rPr>
          <w:b/>
          <w:bCs/>
        </w:rPr>
        <w:t>, although less so for female single-parent households</w:t>
      </w:r>
      <w:r w:rsidR="005B749F" w:rsidRPr="002C1E48">
        <w:rPr>
          <w:b/>
          <w:bCs/>
        </w:rPr>
        <w:t>.</w:t>
      </w:r>
      <w:r w:rsidR="00FC22F9">
        <w:t xml:space="preserve"> </w:t>
      </w:r>
      <w:r w:rsidR="00973460">
        <w:t>H</w:t>
      </w:r>
      <w:r w:rsidR="0065133E">
        <w:t>ouseholds</w:t>
      </w:r>
      <w:r w:rsidR="00973460">
        <w:t xml:space="preserve"> are on average net </w:t>
      </w:r>
      <w:r w:rsidR="00965AFB">
        <w:t>contributo</w:t>
      </w:r>
      <w:r w:rsidR="00FD7407">
        <w:t xml:space="preserve">rs to the fiscal system. That is, they </w:t>
      </w:r>
      <w:r w:rsidR="00356861">
        <w:t xml:space="preserve">pay more in </w:t>
      </w:r>
      <w:r w:rsidR="00137314">
        <w:t xml:space="preserve">direct </w:t>
      </w:r>
      <w:r w:rsidR="00356861">
        <w:t xml:space="preserve">taxes </w:t>
      </w:r>
      <w:r w:rsidR="00594120">
        <w:t xml:space="preserve">and contributions </w:t>
      </w:r>
      <w:r w:rsidR="00356861">
        <w:t xml:space="preserve">than what they receive in </w:t>
      </w:r>
      <w:r w:rsidR="00137314">
        <w:t xml:space="preserve">direct </w:t>
      </w:r>
      <w:r w:rsidR="00760E4D">
        <w:t xml:space="preserve">government </w:t>
      </w:r>
      <w:r w:rsidR="00356861">
        <w:t>transfers</w:t>
      </w:r>
      <w:r w:rsidR="00834FD5">
        <w:t xml:space="preserve">. </w:t>
      </w:r>
      <w:r w:rsidR="0077172A">
        <w:t>Still</w:t>
      </w:r>
      <w:r w:rsidR="00BA2F02">
        <w:t xml:space="preserve">, </w:t>
      </w:r>
      <w:r w:rsidR="0077172A">
        <w:t xml:space="preserve">households’ net </w:t>
      </w:r>
      <w:r w:rsidR="00007A19">
        <w:t xml:space="preserve">fiscal </w:t>
      </w:r>
      <w:r w:rsidR="0077172A">
        <w:t>position</w:t>
      </w:r>
      <w:r w:rsidR="00BA2F02">
        <w:t xml:space="preserve"> varies </w:t>
      </w:r>
      <w:r w:rsidR="00FF5DEA">
        <w:t>considerably</w:t>
      </w:r>
      <w:r w:rsidR="00BA2F02">
        <w:t xml:space="preserve"> </w:t>
      </w:r>
      <w:r w:rsidR="0077172A">
        <w:t xml:space="preserve">depending on their demographic and economic </w:t>
      </w:r>
      <w:r w:rsidR="0077172A" w:rsidRPr="00F87E0B">
        <w:t>characteristics</w:t>
      </w:r>
      <w:r w:rsidR="00CB4DAB" w:rsidRPr="00F87E0B">
        <w:t xml:space="preserve"> (Figure </w:t>
      </w:r>
      <w:r w:rsidR="00983F9B">
        <w:t>5</w:t>
      </w:r>
      <w:r w:rsidR="00CB4DAB" w:rsidRPr="00F87E0B">
        <w:t>)</w:t>
      </w:r>
      <w:r w:rsidR="00F71A73" w:rsidRPr="00F87E0B">
        <w:t>.</w:t>
      </w:r>
      <w:r w:rsidR="00E876F4">
        <w:rPr>
          <w:rStyle w:val="FootnoteReference"/>
        </w:rPr>
        <w:footnoteReference w:id="15"/>
      </w:r>
      <w:r w:rsidR="00F71A73" w:rsidRPr="00F87E0B">
        <w:t xml:space="preserve"> </w:t>
      </w:r>
      <w:r w:rsidR="00956AD1" w:rsidRPr="00873BBA">
        <w:rPr>
          <w:highlight w:val="yellow"/>
        </w:rPr>
        <w:t>The lowest burden i</w:t>
      </w:r>
      <w:r w:rsidR="00F63124" w:rsidRPr="00873BBA">
        <w:rPr>
          <w:highlight w:val="yellow"/>
        </w:rPr>
        <w:t>s</w:t>
      </w:r>
      <w:r w:rsidR="00956AD1" w:rsidRPr="00873BBA">
        <w:rPr>
          <w:highlight w:val="yellow"/>
        </w:rPr>
        <w:t xml:space="preserve"> borne</w:t>
      </w:r>
      <w:r w:rsidR="00D73E1A" w:rsidRPr="00873BBA">
        <w:rPr>
          <w:highlight w:val="yellow"/>
        </w:rPr>
        <w:t xml:space="preserve"> by f</w:t>
      </w:r>
      <w:r w:rsidR="00F71A73" w:rsidRPr="00873BBA">
        <w:rPr>
          <w:highlight w:val="yellow"/>
        </w:rPr>
        <w:t>emale single-parent households</w:t>
      </w:r>
      <w:r w:rsidR="00962889" w:rsidRPr="00873BBA">
        <w:rPr>
          <w:highlight w:val="yellow"/>
        </w:rPr>
        <w:t xml:space="preserve">, </w:t>
      </w:r>
      <w:r w:rsidR="00B75B4C" w:rsidRPr="00873BBA">
        <w:rPr>
          <w:highlight w:val="yellow"/>
        </w:rPr>
        <w:t xml:space="preserve">with net </w:t>
      </w:r>
      <w:r w:rsidR="003138B1" w:rsidRPr="00873BBA">
        <w:rPr>
          <w:highlight w:val="yellow"/>
        </w:rPr>
        <w:t>payments</w:t>
      </w:r>
      <w:r w:rsidR="00B75B4C" w:rsidRPr="00873BBA">
        <w:rPr>
          <w:highlight w:val="yellow"/>
        </w:rPr>
        <w:t xml:space="preserve"> </w:t>
      </w:r>
      <w:r w:rsidR="00962889" w:rsidRPr="00873BBA">
        <w:rPr>
          <w:highlight w:val="yellow"/>
        </w:rPr>
        <w:t xml:space="preserve">accounting for </w:t>
      </w:r>
      <w:r w:rsidR="009B19D4" w:rsidRPr="00873BBA">
        <w:rPr>
          <w:highlight w:val="yellow"/>
        </w:rPr>
        <w:t>5.2</w:t>
      </w:r>
      <w:r w:rsidR="00962889" w:rsidRPr="00873BBA">
        <w:rPr>
          <w:highlight w:val="yellow"/>
        </w:rPr>
        <w:t xml:space="preserve"> percent of their pre-fiscal income.</w:t>
      </w:r>
      <w:r w:rsidR="00E8030F" w:rsidRPr="00F87E0B">
        <w:t xml:space="preserve"> This is </w:t>
      </w:r>
      <w:r w:rsidR="00A33E02">
        <w:t xml:space="preserve">in part </w:t>
      </w:r>
      <w:r w:rsidR="00DE3DE9" w:rsidRPr="00F87E0B">
        <w:t xml:space="preserve">related to the fact that the Uruguayan fiscal system is overall progressive and female single-parent households are </w:t>
      </w:r>
      <w:r w:rsidR="008C7DC8" w:rsidRPr="00F87E0B">
        <w:t xml:space="preserve">one of the most vulnerable </w:t>
      </w:r>
      <w:r w:rsidR="0076713B" w:rsidRPr="00F87E0B">
        <w:t xml:space="preserve">population </w:t>
      </w:r>
      <w:r w:rsidR="008C7DC8" w:rsidRPr="00F87E0B">
        <w:t>groups</w:t>
      </w:r>
      <w:r w:rsidR="00A33C52" w:rsidRPr="00F87E0B">
        <w:t>.</w:t>
      </w:r>
      <w:r w:rsidR="00B65429">
        <w:rPr>
          <w:rStyle w:val="FootnoteReference"/>
        </w:rPr>
        <w:footnoteReference w:id="16"/>
      </w:r>
      <w:r w:rsidR="00F71A73" w:rsidRPr="00F87E0B">
        <w:t xml:space="preserve"> </w:t>
      </w:r>
      <w:r w:rsidR="005B0CEB">
        <w:t xml:space="preserve">At the other extreme, </w:t>
      </w:r>
      <w:r w:rsidR="00EE0807">
        <w:t xml:space="preserve">households comprised of a couple where </w:t>
      </w:r>
      <w:r w:rsidR="00EE444B">
        <w:t>both members</w:t>
      </w:r>
      <w:r w:rsidR="00E37BED">
        <w:t xml:space="preserve"> work</w:t>
      </w:r>
      <w:r w:rsidR="005B0CEB">
        <w:t xml:space="preserve"> face </w:t>
      </w:r>
      <w:r w:rsidR="000459DF">
        <w:t>the largest decline in post-fiscal income</w:t>
      </w:r>
      <w:r w:rsidR="00EE0807">
        <w:t>.</w:t>
      </w:r>
      <w:r w:rsidR="00136811">
        <w:t xml:space="preserve"> In these households, </w:t>
      </w:r>
      <w:r w:rsidR="007D42D5">
        <w:t xml:space="preserve">net </w:t>
      </w:r>
      <w:r w:rsidR="003138B1">
        <w:t xml:space="preserve">payments </w:t>
      </w:r>
      <w:r w:rsidR="004F07E2">
        <w:t>to the fiscal system</w:t>
      </w:r>
      <w:r w:rsidR="007D42D5">
        <w:t xml:space="preserve"> </w:t>
      </w:r>
      <w:r w:rsidR="007D42D5" w:rsidRPr="00261D52">
        <w:t xml:space="preserve">account for </w:t>
      </w:r>
      <w:r w:rsidR="006D7CDF">
        <w:t xml:space="preserve">about </w:t>
      </w:r>
      <w:r w:rsidR="004C3EDB">
        <w:t>12.4</w:t>
      </w:r>
      <w:r w:rsidR="007D42D5" w:rsidRPr="00261D52">
        <w:t xml:space="preserve"> percent of their</w:t>
      </w:r>
      <w:r w:rsidR="007D42D5">
        <w:t xml:space="preserve"> pre-fiscal income.</w:t>
      </w:r>
      <w:r w:rsidR="00A61529">
        <w:t xml:space="preserve"> </w:t>
      </w:r>
    </w:p>
    <w:p w14:paraId="421ABA0C" w14:textId="323F42DA" w:rsidR="004C3B0E" w:rsidRPr="00D95610" w:rsidRDefault="00942790" w:rsidP="00F41A74">
      <w:pPr>
        <w:spacing w:before="120" w:after="120" w:line="257" w:lineRule="auto"/>
      </w:pPr>
      <w:r>
        <w:rPr>
          <w:b/>
          <w:bCs/>
        </w:rPr>
        <w:t>Female</w:t>
      </w:r>
      <w:r w:rsidR="009B5160">
        <w:rPr>
          <w:b/>
          <w:bCs/>
        </w:rPr>
        <w:t xml:space="preserve"> single</w:t>
      </w:r>
      <w:r>
        <w:rPr>
          <w:b/>
          <w:bCs/>
        </w:rPr>
        <w:t>-</w:t>
      </w:r>
      <w:r w:rsidR="009B5160">
        <w:rPr>
          <w:b/>
          <w:bCs/>
        </w:rPr>
        <w:t>parent</w:t>
      </w:r>
      <w:r>
        <w:rPr>
          <w:b/>
          <w:bCs/>
        </w:rPr>
        <w:t xml:space="preserve"> households bear </w:t>
      </w:r>
      <w:r w:rsidR="006757A1">
        <w:rPr>
          <w:b/>
          <w:bCs/>
        </w:rPr>
        <w:t xml:space="preserve">the lowest </w:t>
      </w:r>
      <w:r>
        <w:rPr>
          <w:b/>
          <w:bCs/>
        </w:rPr>
        <w:t>burden of labor income taxes</w:t>
      </w:r>
      <w:r w:rsidR="00D43014">
        <w:rPr>
          <w:b/>
          <w:bCs/>
        </w:rPr>
        <w:t xml:space="preserve">. </w:t>
      </w:r>
      <w:r w:rsidR="004460DD">
        <w:t>These</w:t>
      </w:r>
      <w:r w:rsidR="003E60C0">
        <w:t xml:space="preserve"> households </w:t>
      </w:r>
      <w:r w:rsidR="00246BB7">
        <w:t xml:space="preserve">tend to perceive lower </w:t>
      </w:r>
      <w:r w:rsidR="00CA339A">
        <w:t>labor income</w:t>
      </w:r>
      <w:r w:rsidR="00246BB7">
        <w:t xml:space="preserve"> </w:t>
      </w:r>
      <w:r w:rsidR="003E60C0">
        <w:t>and</w:t>
      </w:r>
      <w:r w:rsidR="00246BB7">
        <w:t xml:space="preserve">, given </w:t>
      </w:r>
      <w:r w:rsidR="009D1B29">
        <w:t>increas</w:t>
      </w:r>
      <w:r w:rsidR="001469FE">
        <w:t>ing</w:t>
      </w:r>
      <w:r w:rsidR="00CA339A">
        <w:t xml:space="preserve"> marginal tax rates with income</w:t>
      </w:r>
      <w:r w:rsidR="00246BB7">
        <w:t xml:space="preserve">, this results in lower tax </w:t>
      </w:r>
      <w:r w:rsidR="00246BB7" w:rsidRPr="00251EB5">
        <w:t>obligations</w:t>
      </w:r>
      <w:r w:rsidR="003E60C0" w:rsidRPr="00251EB5">
        <w:t>.</w:t>
      </w:r>
      <w:r w:rsidRPr="00251EB5">
        <w:t xml:space="preserve"> </w:t>
      </w:r>
      <w:r w:rsidR="005C382F">
        <w:t xml:space="preserve">They are also subject to </w:t>
      </w:r>
      <w:r w:rsidR="005C382F" w:rsidRPr="005C382F">
        <w:t>mandatory contributions to the national health system</w:t>
      </w:r>
      <w:r w:rsidR="005C382F" w:rsidRPr="00846909">
        <w:t>, which are</w:t>
      </w:r>
      <w:r w:rsidR="003E5011" w:rsidRPr="00846909">
        <w:t xml:space="preserve"> less progressive than labor income taxes.</w:t>
      </w:r>
      <w:r w:rsidR="003E5011" w:rsidRPr="005C382F">
        <w:t xml:space="preserve"> </w:t>
      </w:r>
      <w:r w:rsidR="00A0121A" w:rsidRPr="005C382F">
        <w:t>For</w:t>
      </w:r>
      <w:r w:rsidR="00A0121A" w:rsidRPr="00CD5C69">
        <w:t xml:space="preserve"> example, </w:t>
      </w:r>
      <w:r w:rsidR="00931190" w:rsidRPr="00CD5C69">
        <w:t>individuals</w:t>
      </w:r>
      <w:r w:rsidR="00931190" w:rsidRPr="00F95D1C">
        <w:t xml:space="preserve"> </w:t>
      </w:r>
      <w:r w:rsidR="00B11415">
        <w:t>whose annual salary</w:t>
      </w:r>
      <w:r w:rsidR="00012C3F">
        <w:t xml:space="preserve"> is</w:t>
      </w:r>
      <w:r w:rsidR="00AE1000" w:rsidRPr="00CD5C69">
        <w:t xml:space="preserve"> less than </w:t>
      </w:r>
      <w:r w:rsidR="00920DF9" w:rsidRPr="00CD5C69">
        <w:t>303,</w:t>
      </w:r>
      <w:r w:rsidR="008612BE" w:rsidRPr="00CD5C69">
        <w:t>324</w:t>
      </w:r>
      <w:r w:rsidR="00AE1000" w:rsidRPr="00CD5C69">
        <w:t xml:space="preserve"> pesos ar</w:t>
      </w:r>
      <w:r w:rsidR="00AE1000">
        <w:t xml:space="preserve">e </w:t>
      </w:r>
      <w:r w:rsidR="00AF4965">
        <w:t>exempt f</w:t>
      </w:r>
      <w:r w:rsidR="00012C3F">
        <w:t>rom</w:t>
      </w:r>
      <w:r w:rsidR="00AF4965">
        <w:t xml:space="preserve"> paying</w:t>
      </w:r>
      <w:r w:rsidR="00AE1000">
        <w:t xml:space="preserve"> IRPF, whereas they </w:t>
      </w:r>
      <w:r w:rsidR="005C382F">
        <w:t xml:space="preserve">still </w:t>
      </w:r>
      <w:proofErr w:type="gramStart"/>
      <w:r w:rsidR="00AE1000">
        <w:t>have to</w:t>
      </w:r>
      <w:proofErr w:type="gramEnd"/>
      <w:r w:rsidR="00AE1000">
        <w:t xml:space="preserve"> </w:t>
      </w:r>
      <w:r w:rsidR="00012C3F">
        <w:t>contribute with</w:t>
      </w:r>
      <w:r w:rsidR="00AE1000">
        <w:t xml:space="preserve"> </w:t>
      </w:r>
      <w:r w:rsidR="00381FE6">
        <w:t xml:space="preserve">at </w:t>
      </w:r>
      <w:r w:rsidR="00381FE6" w:rsidRPr="00CD5C69">
        <w:t xml:space="preserve">least </w:t>
      </w:r>
      <w:r w:rsidR="008467BC" w:rsidRPr="00CD5C69">
        <w:t>3</w:t>
      </w:r>
      <w:r w:rsidR="00E97C4B" w:rsidRPr="00CD5C69">
        <w:t xml:space="preserve"> percent</w:t>
      </w:r>
      <w:r w:rsidR="000A2558">
        <w:t xml:space="preserve"> of their </w:t>
      </w:r>
      <w:r w:rsidR="00C96FA0">
        <w:t>salary</w:t>
      </w:r>
      <w:r w:rsidR="000A2558">
        <w:t xml:space="preserve"> to </w:t>
      </w:r>
      <w:r w:rsidR="000A3CB2">
        <w:t xml:space="preserve">the </w:t>
      </w:r>
      <w:r w:rsidR="000A3CB2" w:rsidRPr="00CD5C69">
        <w:rPr>
          <w:i/>
          <w:iCs/>
        </w:rPr>
        <w:t>Fondo Nacional de Salud</w:t>
      </w:r>
      <w:r w:rsidR="000A3CB2">
        <w:t xml:space="preserve"> (FONASA)</w:t>
      </w:r>
      <w:r w:rsidR="00E97C4B">
        <w:t xml:space="preserve">. </w:t>
      </w:r>
      <w:r w:rsidR="003E5011">
        <w:t>As a result, h</w:t>
      </w:r>
      <w:r w:rsidR="0024773B">
        <w:t>ouseholds</w:t>
      </w:r>
      <w:r w:rsidR="00E03C7D">
        <w:t xml:space="preserve"> under analysis</w:t>
      </w:r>
      <w:r w:rsidR="0024773B">
        <w:t xml:space="preserve"> </w:t>
      </w:r>
      <w:r w:rsidR="003E5011">
        <w:t xml:space="preserve">tend to pay </w:t>
      </w:r>
      <w:r w:rsidR="00002632">
        <w:t xml:space="preserve">between 1 and </w:t>
      </w:r>
      <w:r w:rsidR="00D429B0">
        <w:t>1.7</w:t>
      </w:r>
      <w:r w:rsidR="00002632">
        <w:t xml:space="preserve"> percentage points more</w:t>
      </w:r>
      <w:r w:rsidR="0024773B">
        <w:t xml:space="preserve"> of their income in </w:t>
      </w:r>
      <w:r w:rsidR="003E5011">
        <w:t xml:space="preserve">health </w:t>
      </w:r>
      <w:r w:rsidR="0024773B">
        <w:t>contributions than what they pay in labor income taxes.</w:t>
      </w:r>
      <w:r w:rsidR="00EA23B3">
        <w:rPr>
          <w:rStyle w:val="FootnoteReference"/>
        </w:rPr>
        <w:footnoteReference w:id="17"/>
      </w:r>
      <w:r w:rsidR="00575092">
        <w:t xml:space="preserve"> </w:t>
      </w:r>
    </w:p>
    <w:p w14:paraId="1B727C0C" w14:textId="4C006221" w:rsidR="0089400C" w:rsidRDefault="00644CED" w:rsidP="005F4C77">
      <w:pPr>
        <w:spacing w:before="120" w:after="120" w:line="257" w:lineRule="auto"/>
      </w:pPr>
      <w:r>
        <w:rPr>
          <w:b/>
          <w:bCs/>
        </w:rPr>
        <w:t>Government</w:t>
      </w:r>
      <w:r w:rsidRPr="00531F29">
        <w:rPr>
          <w:b/>
          <w:bCs/>
        </w:rPr>
        <w:t xml:space="preserve"> </w:t>
      </w:r>
      <w:r w:rsidR="005F4C77" w:rsidRPr="00531F29">
        <w:rPr>
          <w:b/>
          <w:bCs/>
        </w:rPr>
        <w:t xml:space="preserve">transfers </w:t>
      </w:r>
      <w:r w:rsidR="008A687B">
        <w:rPr>
          <w:b/>
          <w:bCs/>
        </w:rPr>
        <w:t>almost</w:t>
      </w:r>
      <w:r w:rsidR="00160A4B">
        <w:rPr>
          <w:b/>
          <w:bCs/>
        </w:rPr>
        <w:t xml:space="preserve"> offset the burden of </w:t>
      </w:r>
      <w:r>
        <w:rPr>
          <w:b/>
          <w:bCs/>
        </w:rPr>
        <w:t>income</w:t>
      </w:r>
      <w:r w:rsidR="00160A4B">
        <w:rPr>
          <w:b/>
          <w:bCs/>
        </w:rPr>
        <w:t xml:space="preserve"> taxes</w:t>
      </w:r>
      <w:r w:rsidR="00AA0F67">
        <w:rPr>
          <w:b/>
          <w:bCs/>
        </w:rPr>
        <w:t xml:space="preserve"> for female single-parent households</w:t>
      </w:r>
      <w:r w:rsidR="005F4C77" w:rsidRPr="00531F29">
        <w:rPr>
          <w:b/>
          <w:bCs/>
        </w:rPr>
        <w:t>.</w:t>
      </w:r>
      <w:r w:rsidR="005F4C77">
        <w:rPr>
          <w:b/>
          <w:bCs/>
        </w:rPr>
        <w:t xml:space="preserve"> </w:t>
      </w:r>
      <w:r w:rsidR="00A654F0">
        <w:t xml:space="preserve">The incidence of non-contributory </w:t>
      </w:r>
      <w:r w:rsidR="00733092">
        <w:t xml:space="preserve">government </w:t>
      </w:r>
      <w:r w:rsidR="00A654F0">
        <w:t xml:space="preserve">transfers is </w:t>
      </w:r>
      <w:r w:rsidR="007B7EDC">
        <w:t>significantly</w:t>
      </w:r>
      <w:r w:rsidR="00A654F0">
        <w:t xml:space="preserve"> larger among households with children</w:t>
      </w:r>
      <w:r w:rsidR="00EC428E">
        <w:t xml:space="preserve"> under 25 years of age</w:t>
      </w:r>
      <w:r w:rsidR="00A654F0">
        <w:t xml:space="preserve">. </w:t>
      </w:r>
      <w:r w:rsidR="00096656">
        <w:t xml:space="preserve">This is related to the design of </w:t>
      </w:r>
      <w:r w:rsidR="00A423E7">
        <w:t xml:space="preserve">these </w:t>
      </w:r>
      <w:r w:rsidR="00096656">
        <w:t xml:space="preserve">transfers, which </w:t>
      </w:r>
      <w:r w:rsidR="00CF3399">
        <w:t xml:space="preserve">in most cases </w:t>
      </w:r>
      <w:r w:rsidR="00DF045A">
        <w:t xml:space="preserve">target </w:t>
      </w:r>
      <w:r w:rsidR="0006797A">
        <w:t>pregnant women</w:t>
      </w:r>
      <w:r w:rsidR="001363F3">
        <w:t xml:space="preserve"> and</w:t>
      </w:r>
      <w:r w:rsidR="0006797A">
        <w:t xml:space="preserve"> underaged child</w:t>
      </w:r>
      <w:r w:rsidR="00214CE5">
        <w:t>ren</w:t>
      </w:r>
      <w:r w:rsidR="00096656">
        <w:t xml:space="preserve">. </w:t>
      </w:r>
      <w:r w:rsidR="00842957">
        <w:t xml:space="preserve">In some </w:t>
      </w:r>
      <w:r w:rsidR="003C34D7">
        <w:t xml:space="preserve">types of </w:t>
      </w:r>
      <w:r w:rsidR="00842957">
        <w:t xml:space="preserve">households, direct transfers </w:t>
      </w:r>
      <w:r w:rsidR="004179B4">
        <w:t>nearly</w:t>
      </w:r>
      <w:r w:rsidR="00842957">
        <w:t xml:space="preserve"> offset the </w:t>
      </w:r>
      <w:r w:rsidR="009D4840">
        <w:t>impact</w:t>
      </w:r>
      <w:r w:rsidR="00842957">
        <w:t xml:space="preserve"> of </w:t>
      </w:r>
      <w:r w:rsidR="00C9441C">
        <w:t>direct</w:t>
      </w:r>
      <w:r w:rsidR="00842957">
        <w:t xml:space="preserve"> taxes. For instance, </w:t>
      </w:r>
      <w:r w:rsidR="005F4C77">
        <w:t xml:space="preserve">AFAM-PE and food transfers </w:t>
      </w:r>
      <w:r w:rsidR="00A0164D">
        <w:t xml:space="preserve">combined </w:t>
      </w:r>
      <w:r w:rsidR="005F4C77">
        <w:t xml:space="preserve">account for </w:t>
      </w:r>
      <w:r w:rsidR="00E52CD3">
        <w:t>2.</w:t>
      </w:r>
      <w:r w:rsidR="00E645A3">
        <w:t xml:space="preserve">7 </w:t>
      </w:r>
      <w:r w:rsidR="005F4C77">
        <w:t>percent of the pre-fiscal income of female single-parent households</w:t>
      </w:r>
      <w:r w:rsidR="00C9441C">
        <w:t xml:space="preserve">, </w:t>
      </w:r>
      <w:r w:rsidR="003144CC">
        <w:t>compared to</w:t>
      </w:r>
      <w:r w:rsidR="005964E1">
        <w:t xml:space="preserve"> </w:t>
      </w:r>
      <w:r w:rsidR="00E645A3">
        <w:t>3.4</w:t>
      </w:r>
      <w:r w:rsidR="005964E1">
        <w:t xml:space="preserve"> percent of </w:t>
      </w:r>
      <w:r w:rsidR="003144CC">
        <w:t>labor income taxes</w:t>
      </w:r>
      <w:r w:rsidR="005F4C77">
        <w:t>.</w:t>
      </w:r>
      <w:r w:rsidR="00406A8D">
        <w:t xml:space="preserve"> </w:t>
      </w:r>
      <w:r w:rsidR="003976B0">
        <w:t xml:space="preserve">Households comprised of a couple with children where only men work </w:t>
      </w:r>
      <w:r w:rsidR="004F5BBF">
        <w:t xml:space="preserve">tend to receive similar AFAM-PE </w:t>
      </w:r>
      <w:r w:rsidR="004F5BBF">
        <w:lastRenderedPageBreak/>
        <w:t xml:space="preserve">and food transfers </w:t>
      </w:r>
      <w:r w:rsidR="00155F8D">
        <w:t xml:space="preserve">than female single-parent households, although the former </w:t>
      </w:r>
      <w:r w:rsidR="007F6285">
        <w:t>receive a considerably large</w:t>
      </w:r>
      <w:r w:rsidR="00E326D0">
        <w:t>r</w:t>
      </w:r>
      <w:r w:rsidR="007F6285">
        <w:t xml:space="preserve"> amount of other transfers, including </w:t>
      </w:r>
      <w:r w:rsidR="00784BB8">
        <w:t>maternity and family benefits, disability and sickness allowances, and unemployment benefits.</w:t>
      </w:r>
      <w:r w:rsidR="003D7C99">
        <w:rPr>
          <w:rStyle w:val="FootnoteReference"/>
        </w:rPr>
        <w:footnoteReference w:id="18"/>
      </w:r>
      <w:r w:rsidR="00784BB8">
        <w:t xml:space="preserve"> Direct transfers </w:t>
      </w:r>
      <w:r w:rsidR="00C356E9">
        <w:t xml:space="preserve">represent a smaller share of the pre-fiscal income of </w:t>
      </w:r>
      <w:r w:rsidR="00F778DB">
        <w:t xml:space="preserve">dual-earner </w:t>
      </w:r>
      <w:r w:rsidR="00F94F65">
        <w:t xml:space="preserve">households </w:t>
      </w:r>
      <w:r w:rsidR="008D3985">
        <w:t>with children</w:t>
      </w:r>
      <w:r w:rsidR="00F94F65">
        <w:t xml:space="preserve">, as these </w:t>
      </w:r>
      <w:r w:rsidR="008D3985">
        <w:t xml:space="preserve">households </w:t>
      </w:r>
      <w:r w:rsidR="00F94F65">
        <w:t xml:space="preserve">tend to </w:t>
      </w:r>
      <w:r w:rsidR="006E5D23">
        <w:t xml:space="preserve">be </w:t>
      </w:r>
      <w:r w:rsidR="008D3985">
        <w:t>better off</w:t>
      </w:r>
      <w:r w:rsidR="002B1A05">
        <w:t>.</w:t>
      </w:r>
    </w:p>
    <w:p w14:paraId="66D5DD15" w14:textId="3FF47B97" w:rsidR="00E543A4" w:rsidRDefault="00D31007" w:rsidP="00C77E9C">
      <w:pPr>
        <w:spacing w:after="240" w:line="257" w:lineRule="auto"/>
      </w:pPr>
      <w:bookmarkStart w:id="13" w:name="_Hlk196448037"/>
      <w:r>
        <w:rPr>
          <w:b/>
          <w:bCs/>
        </w:rPr>
        <w:t>The</w:t>
      </w:r>
      <w:r w:rsidR="00347E72" w:rsidRPr="00CC23B8">
        <w:rPr>
          <w:b/>
          <w:bCs/>
        </w:rPr>
        <w:t xml:space="preserve"> incidence of the fiscal system</w:t>
      </w:r>
      <w:r w:rsidR="00E316E4">
        <w:rPr>
          <w:b/>
          <w:bCs/>
        </w:rPr>
        <w:t xml:space="preserve"> </w:t>
      </w:r>
      <w:r w:rsidR="00BC22FA">
        <w:rPr>
          <w:b/>
          <w:bCs/>
        </w:rPr>
        <w:t xml:space="preserve">across household types </w:t>
      </w:r>
      <w:r w:rsidR="00E316E4">
        <w:rPr>
          <w:b/>
          <w:bCs/>
        </w:rPr>
        <w:t>var</w:t>
      </w:r>
      <w:r w:rsidR="009836B0">
        <w:rPr>
          <w:b/>
          <w:bCs/>
        </w:rPr>
        <w:t>ies</w:t>
      </w:r>
      <w:r w:rsidR="005C04A5" w:rsidRPr="00CC23B8">
        <w:rPr>
          <w:b/>
          <w:bCs/>
        </w:rPr>
        <w:t xml:space="preserve"> considerably </w:t>
      </w:r>
      <w:r w:rsidR="00E11E70" w:rsidRPr="00CC23B8">
        <w:rPr>
          <w:b/>
          <w:bCs/>
        </w:rPr>
        <w:t>when</w:t>
      </w:r>
      <w:r w:rsidR="005C04A5" w:rsidRPr="00CC23B8">
        <w:rPr>
          <w:b/>
          <w:bCs/>
        </w:rPr>
        <w:t xml:space="preserve"> controlling for </w:t>
      </w:r>
      <w:r w:rsidR="00BC22FA">
        <w:rPr>
          <w:b/>
          <w:bCs/>
        </w:rPr>
        <w:t>their</w:t>
      </w:r>
      <w:r w:rsidR="00BC22FA" w:rsidRPr="00CC23B8">
        <w:rPr>
          <w:b/>
          <w:bCs/>
        </w:rPr>
        <w:t xml:space="preserve"> </w:t>
      </w:r>
      <w:r w:rsidR="00C020C1" w:rsidRPr="00CC23B8">
        <w:rPr>
          <w:b/>
          <w:bCs/>
        </w:rPr>
        <w:t>income level</w:t>
      </w:r>
      <w:bookmarkEnd w:id="13"/>
      <w:r w:rsidR="00255EEE" w:rsidRPr="00CC23B8">
        <w:rPr>
          <w:b/>
        </w:rPr>
        <w:t>.</w:t>
      </w:r>
      <w:r w:rsidR="007475EE">
        <w:rPr>
          <w:b/>
          <w:bCs/>
        </w:rPr>
        <w:t xml:space="preserve"> </w:t>
      </w:r>
      <w:r w:rsidR="00FB10FA">
        <w:t xml:space="preserve">Fiscal progressivity </w:t>
      </w:r>
      <w:r w:rsidR="00365A71">
        <w:t xml:space="preserve">implies </w:t>
      </w:r>
      <w:r w:rsidR="00FB10FA">
        <w:t xml:space="preserve">that the burden of taxes and contributions increases with households’ income, whereas </w:t>
      </w:r>
      <w:r w:rsidR="005964EF">
        <w:t xml:space="preserve">benefits from targeted </w:t>
      </w:r>
      <w:r w:rsidR="003D4921">
        <w:t xml:space="preserve">public </w:t>
      </w:r>
      <w:r w:rsidR="005964EF">
        <w:t>transfers decrease with income.</w:t>
      </w:r>
      <w:r w:rsidR="00E96B42" w:rsidRPr="00A14930">
        <w:t xml:space="preserve"> </w:t>
      </w:r>
      <w:r w:rsidR="00975624">
        <w:t>Therefore</w:t>
      </w:r>
      <w:r w:rsidR="00F81822">
        <w:t>, difference</w:t>
      </w:r>
      <w:r w:rsidR="002977AF">
        <w:t>s</w:t>
      </w:r>
      <w:r w:rsidR="00F81822">
        <w:t xml:space="preserve"> in income levels </w:t>
      </w:r>
      <w:r w:rsidR="00DB3B9B">
        <w:t>across</w:t>
      </w:r>
      <w:r w:rsidR="00F81822">
        <w:t xml:space="preserve"> household types affect</w:t>
      </w:r>
      <w:r w:rsidR="00C91B21">
        <w:t xml:space="preserve"> </w:t>
      </w:r>
      <w:r w:rsidR="0000117A">
        <w:t xml:space="preserve">the </w:t>
      </w:r>
      <w:r w:rsidR="004950DA">
        <w:t>impact that</w:t>
      </w:r>
      <w:r w:rsidR="0000117A">
        <w:t xml:space="preserve"> the fiscal system </w:t>
      </w:r>
      <w:r w:rsidR="00541BEF">
        <w:t>has</w:t>
      </w:r>
      <w:r w:rsidR="004950DA">
        <w:t xml:space="preserve"> on</w:t>
      </w:r>
      <w:r w:rsidR="0000117A">
        <w:t xml:space="preserve"> them</w:t>
      </w:r>
      <w:r w:rsidR="00F81822">
        <w:t xml:space="preserve">. </w:t>
      </w:r>
      <w:bookmarkStart w:id="14" w:name="_Hlk196448152"/>
      <w:r w:rsidR="00E96B42" w:rsidRPr="00A14930">
        <w:t xml:space="preserve">To </w:t>
      </w:r>
      <w:proofErr w:type="gramStart"/>
      <w:r w:rsidR="00E96B42" w:rsidRPr="00A14930">
        <w:t>control for</w:t>
      </w:r>
      <w:proofErr w:type="gramEnd"/>
      <w:r w:rsidR="00873638">
        <w:t xml:space="preserve"> </w:t>
      </w:r>
      <w:r w:rsidR="00C91B21">
        <w:t>these</w:t>
      </w:r>
      <w:r w:rsidR="00873638">
        <w:t xml:space="preserve"> </w:t>
      </w:r>
      <w:r w:rsidR="00A84F9D">
        <w:t>differences</w:t>
      </w:r>
      <w:r w:rsidR="00E96B42" w:rsidRPr="00A14930">
        <w:t xml:space="preserve">, we </w:t>
      </w:r>
      <w:r w:rsidR="00573F2D" w:rsidRPr="00A14930">
        <w:t xml:space="preserve">restrict the </w:t>
      </w:r>
      <w:r w:rsidR="00E657D2">
        <w:t>sample</w:t>
      </w:r>
      <w:r w:rsidR="00573F2D" w:rsidRPr="00A14930">
        <w:t xml:space="preserve"> to the population in the sixth decile</w:t>
      </w:r>
      <w:r w:rsidR="00631652" w:rsidRPr="00A14930">
        <w:t xml:space="preserve"> of the per capita pre-fiscal income distribution</w:t>
      </w:r>
      <w:r w:rsidR="00B3634A">
        <w:t xml:space="preserve"> </w:t>
      </w:r>
      <w:bookmarkEnd w:id="14"/>
      <w:r w:rsidR="00B3634A">
        <w:t>(Figure 6</w:t>
      </w:r>
      <w:r w:rsidR="00B3634A" w:rsidRPr="009634A1">
        <w:t>)</w:t>
      </w:r>
      <w:r w:rsidR="00631652" w:rsidRPr="009634A1">
        <w:t>.</w:t>
      </w:r>
      <w:r w:rsidR="00E50B5B" w:rsidRPr="009634A1">
        <w:rPr>
          <w:rStyle w:val="FootnoteReference"/>
        </w:rPr>
        <w:footnoteReference w:id="19"/>
      </w:r>
      <w:r w:rsidR="00631652" w:rsidRPr="009634A1">
        <w:t xml:space="preserve"> </w:t>
      </w:r>
      <w:r w:rsidR="00DB5FEE" w:rsidRPr="009634A1">
        <w:t xml:space="preserve">Three main </w:t>
      </w:r>
      <w:r w:rsidR="005D24B5">
        <w:t xml:space="preserve">patterns </w:t>
      </w:r>
      <w:r w:rsidR="009634A1">
        <w:t>emerge from this analysis</w:t>
      </w:r>
      <w:r w:rsidR="00DB5FEE">
        <w:t xml:space="preserve">. </w:t>
      </w:r>
      <w:r w:rsidR="006A4597">
        <w:t>First, r</w:t>
      </w:r>
      <w:r w:rsidR="00C266E6" w:rsidRPr="00A2013C">
        <w:t xml:space="preserve">elative to </w:t>
      </w:r>
      <w:r w:rsidR="004009DC" w:rsidRPr="00A2013C">
        <w:t>households’</w:t>
      </w:r>
      <w:r w:rsidR="005C539F">
        <w:t xml:space="preserve"> </w:t>
      </w:r>
      <w:r w:rsidR="004009DC" w:rsidRPr="00A2013C">
        <w:t>income, t</w:t>
      </w:r>
      <w:r w:rsidR="00167B7F" w:rsidRPr="00A2013C">
        <w:t xml:space="preserve">axes and </w:t>
      </w:r>
      <w:r w:rsidR="00E30901" w:rsidRPr="00BD3FD0">
        <w:t xml:space="preserve">contributions </w:t>
      </w:r>
      <w:r w:rsidR="009D0C58" w:rsidRPr="00BD3FD0">
        <w:t xml:space="preserve">are </w:t>
      </w:r>
      <w:r w:rsidR="0091681B" w:rsidRPr="00BD3FD0">
        <w:t>2</w:t>
      </w:r>
      <w:r w:rsidR="00B26D5A" w:rsidRPr="00BD3FD0">
        <w:t>.</w:t>
      </w:r>
      <w:r w:rsidR="0091681B" w:rsidRPr="00BD3FD0">
        <w:t>8</w:t>
      </w:r>
      <w:r w:rsidR="00073F8D" w:rsidRPr="00BD3FD0">
        <w:t xml:space="preserve"> percentage</w:t>
      </w:r>
      <w:r w:rsidR="00073F8D" w:rsidRPr="00A2013C">
        <w:t xml:space="preserve"> points </w:t>
      </w:r>
      <w:r w:rsidR="00863FF1" w:rsidRPr="00A2013C">
        <w:t xml:space="preserve">larger in </w:t>
      </w:r>
      <w:r w:rsidR="009F6E04" w:rsidRPr="00A2013C">
        <w:t xml:space="preserve">households </w:t>
      </w:r>
      <w:r w:rsidR="009F6E04" w:rsidRPr="00FE7664">
        <w:t>comprised of a couple</w:t>
      </w:r>
      <w:r w:rsidR="00E40099" w:rsidRPr="009C45C9">
        <w:t xml:space="preserve"> where only </w:t>
      </w:r>
      <w:r w:rsidR="005D24B5">
        <w:t>the man</w:t>
      </w:r>
      <w:r w:rsidR="005D24B5" w:rsidRPr="009C45C9">
        <w:t xml:space="preserve"> </w:t>
      </w:r>
      <w:r w:rsidR="00E40099" w:rsidRPr="009C45C9">
        <w:t>work</w:t>
      </w:r>
      <w:r w:rsidR="005D24B5">
        <w:t>s</w:t>
      </w:r>
      <w:r w:rsidR="00E40099" w:rsidRPr="009C45C9">
        <w:t xml:space="preserve"> than in those where both </w:t>
      </w:r>
      <w:r w:rsidR="009D0C58" w:rsidRPr="00A2013C">
        <w:t xml:space="preserve">members </w:t>
      </w:r>
      <w:r w:rsidR="002B234C">
        <w:t xml:space="preserve">of the couple </w:t>
      </w:r>
      <w:r w:rsidR="009D0C58" w:rsidRPr="00A2013C">
        <w:t>work.</w:t>
      </w:r>
      <w:r w:rsidR="00884BDC">
        <w:t xml:space="preserve"> </w:t>
      </w:r>
      <w:r w:rsidR="003E3FD8" w:rsidRPr="00FF0A1F">
        <w:t>At a given level of per capita income,</w:t>
      </w:r>
      <w:r w:rsidR="00CD3D27" w:rsidRPr="00FF0A1F">
        <w:t xml:space="preserve"> </w:t>
      </w:r>
      <w:r w:rsidR="00D71AD8" w:rsidRPr="00FF0A1F">
        <w:t xml:space="preserve">the </w:t>
      </w:r>
      <w:r w:rsidR="009B4A68">
        <w:t>tax</w:t>
      </w:r>
      <w:r w:rsidR="00D71AD8" w:rsidRPr="00FF0A1F">
        <w:t xml:space="preserve">-to-income ratio is lower when the number </w:t>
      </w:r>
      <w:r w:rsidR="002646EF" w:rsidRPr="00FF0A1F">
        <w:t xml:space="preserve">of earners is </w:t>
      </w:r>
      <w:r w:rsidR="00354B7F" w:rsidRPr="00FF0A1F">
        <w:t>larger</w:t>
      </w:r>
      <w:r w:rsidR="003E3FD8" w:rsidRPr="00FF0A1F">
        <w:t>.</w:t>
      </w:r>
      <w:r w:rsidR="003E3FD8">
        <w:t xml:space="preserve"> </w:t>
      </w:r>
      <w:r w:rsidR="00EB411F">
        <w:t>This is explained by the</w:t>
      </w:r>
      <w:r w:rsidR="00BE2345">
        <w:t xml:space="preserve"> combination of progressive </w:t>
      </w:r>
      <w:r w:rsidR="00EB411F">
        <w:t>marginal tax rates</w:t>
      </w:r>
      <w:r w:rsidR="00B81557">
        <w:t xml:space="preserve"> </w:t>
      </w:r>
      <w:r w:rsidR="000E244F">
        <w:t>and</w:t>
      </w:r>
      <w:r w:rsidR="00B81557">
        <w:t xml:space="preserve"> </w:t>
      </w:r>
      <w:r w:rsidR="00E25CFC">
        <w:t>an individual filing</w:t>
      </w:r>
      <w:r w:rsidR="00B81557">
        <w:t xml:space="preserve"> system</w:t>
      </w:r>
      <w:r w:rsidR="002633EF">
        <w:t>. D</w:t>
      </w:r>
      <w:r w:rsidR="00D10609">
        <w:t xml:space="preserve">ual-earner households benefit twice </w:t>
      </w:r>
      <w:r w:rsidR="00586617">
        <w:t xml:space="preserve">from the </w:t>
      </w:r>
      <w:r w:rsidR="00BB6E9C">
        <w:t xml:space="preserve">lower </w:t>
      </w:r>
      <w:r w:rsidR="00586617">
        <w:t>tax threshold</w:t>
      </w:r>
      <w:r w:rsidR="00BB6E9C">
        <w:t>s</w:t>
      </w:r>
      <w:r w:rsidR="00586617">
        <w:t xml:space="preserve"> </w:t>
      </w:r>
      <w:r w:rsidR="00E95366">
        <w:t xml:space="preserve">and move into higher </w:t>
      </w:r>
      <w:r w:rsidR="007323E1">
        <w:t>tax brackets only at higher levels of</w:t>
      </w:r>
      <w:r w:rsidR="00BB6E9C">
        <w:t xml:space="preserve"> total</w:t>
      </w:r>
      <w:r w:rsidR="007323E1">
        <w:t xml:space="preserve"> household income</w:t>
      </w:r>
      <w:r w:rsidR="00A54C9A">
        <w:t>.</w:t>
      </w:r>
      <w:r w:rsidR="00365730">
        <w:t xml:space="preserve"> </w:t>
      </w:r>
      <w:r w:rsidR="000A391D">
        <w:t>This</w:t>
      </w:r>
      <w:r w:rsidR="008F5655">
        <w:t xml:space="preserve"> </w:t>
      </w:r>
      <w:r w:rsidR="00F47C03">
        <w:t>suggests</w:t>
      </w:r>
      <w:r w:rsidR="008F5655">
        <w:t xml:space="preserve"> that </w:t>
      </w:r>
      <w:r w:rsidR="00A267CC">
        <w:t>income taxes do not discourage</w:t>
      </w:r>
      <w:r w:rsidR="00203119">
        <w:t xml:space="preserve"> labor market participation of a second earner</w:t>
      </w:r>
      <w:r w:rsidR="006F5547">
        <w:t xml:space="preserve"> given that it is not </w:t>
      </w:r>
      <w:r w:rsidR="00E46546">
        <w:t>implic</w:t>
      </w:r>
      <w:r w:rsidR="003C0319">
        <w:t>itly taxed at higher rates</w:t>
      </w:r>
      <w:r w:rsidR="00EB2CDF">
        <w:t>.</w:t>
      </w:r>
      <w:r w:rsidR="00D761E0">
        <w:t xml:space="preserve"> </w:t>
      </w:r>
      <w:r w:rsidR="006A4597">
        <w:t>Second, t</w:t>
      </w:r>
      <w:r w:rsidR="001678AE">
        <w:t>he burden of direct taxes and contributions is larger</w:t>
      </w:r>
      <w:r w:rsidR="006827FB">
        <w:t xml:space="preserve"> for </w:t>
      </w:r>
      <w:r w:rsidR="001C24AA">
        <w:t>households</w:t>
      </w:r>
      <w:r w:rsidR="006827FB">
        <w:t xml:space="preserve"> with children than </w:t>
      </w:r>
      <w:r w:rsidR="00245B31">
        <w:t xml:space="preserve">for those </w:t>
      </w:r>
      <w:r w:rsidR="006827FB">
        <w:t>without children.</w:t>
      </w:r>
      <w:r w:rsidR="00AE04F0">
        <w:rPr>
          <w:rStyle w:val="FootnoteReference"/>
        </w:rPr>
        <w:footnoteReference w:id="20"/>
      </w:r>
      <w:r w:rsidR="004F002E">
        <w:t xml:space="preserve"> </w:t>
      </w:r>
      <w:r w:rsidR="00ED5E07">
        <w:t>This pattern is consistent with the fac</w:t>
      </w:r>
      <w:r w:rsidR="006C39F0">
        <w:t xml:space="preserve">t that (i) </w:t>
      </w:r>
      <w:r w:rsidR="00804419">
        <w:t>a</w:t>
      </w:r>
      <w:r w:rsidR="00A000D3">
        <w:t xml:space="preserve">t a given level of per capita income, </w:t>
      </w:r>
      <w:r w:rsidR="00277A07">
        <w:t>total income of the household increases with its size</w:t>
      </w:r>
      <w:r w:rsidR="006C39F0">
        <w:t xml:space="preserve">; and (ii) </w:t>
      </w:r>
      <w:r w:rsidR="00506022">
        <w:t>the tax burden increases with total household income because of the progressivity of marginal tax rates</w:t>
      </w:r>
      <w:r w:rsidR="00277A07">
        <w:t xml:space="preserve">. </w:t>
      </w:r>
      <w:r w:rsidR="002164CD">
        <w:t xml:space="preserve">Third, </w:t>
      </w:r>
      <w:r w:rsidR="007512FC">
        <w:t xml:space="preserve">female single-parent households </w:t>
      </w:r>
      <w:r w:rsidR="006877C1">
        <w:t>bear a lower tax burden than dual-earner households</w:t>
      </w:r>
      <w:r w:rsidR="004B1D2F" w:rsidRPr="00E71C02">
        <w:t xml:space="preserve">. </w:t>
      </w:r>
      <w:r w:rsidR="00CE334D">
        <w:t xml:space="preserve">However, this pattern </w:t>
      </w:r>
      <w:r w:rsidR="00DA76B2">
        <w:t xml:space="preserve">is partly explained </w:t>
      </w:r>
      <w:r w:rsidR="00A81D93">
        <w:t>by non-desirable aspects</w:t>
      </w:r>
      <w:r w:rsidR="00311EA9">
        <w:t xml:space="preserve"> such as</w:t>
      </w:r>
      <w:r w:rsidR="00A81D93">
        <w:t xml:space="preserve"> higher levels of </w:t>
      </w:r>
      <w:r w:rsidR="00311EA9">
        <w:t xml:space="preserve">labor </w:t>
      </w:r>
      <w:r w:rsidR="00A81D93">
        <w:t>informality</w:t>
      </w:r>
      <w:r w:rsidR="00D06F1F">
        <w:t xml:space="preserve"> and participation of non-taxable sources of income</w:t>
      </w:r>
      <w:r w:rsidR="00D25D02">
        <w:t xml:space="preserve"> </w:t>
      </w:r>
      <w:r w:rsidR="005D24B5">
        <w:t xml:space="preserve">(e.g., alimony) </w:t>
      </w:r>
      <w:r w:rsidR="00D25D02">
        <w:t>among female single-parent households</w:t>
      </w:r>
      <w:r w:rsidR="002256AD">
        <w:t>.</w:t>
      </w:r>
      <w:r w:rsidR="00A81D93">
        <w:t xml:space="preserve"> </w:t>
      </w:r>
    </w:p>
    <w:p w14:paraId="114B0FF2" w14:textId="4C5AF3DF" w:rsidR="005839B3" w:rsidRDefault="00062878" w:rsidP="006C14B8">
      <w:pPr>
        <w:pStyle w:val="Caption"/>
        <w:keepNext/>
        <w:jc w:val="center"/>
        <w:rPr>
          <w:sz w:val="22"/>
          <w:szCs w:val="22"/>
        </w:rPr>
      </w:pPr>
      <w:bookmarkStart w:id="15" w:name="_Ref75120657"/>
      <w:r w:rsidRPr="008F587B">
        <w:rPr>
          <w:sz w:val="22"/>
          <w:szCs w:val="22"/>
        </w:rPr>
        <w:lastRenderedPageBreak/>
        <w:t xml:space="preserve">Figure </w:t>
      </w:r>
      <w:r>
        <w:rPr>
          <w:sz w:val="22"/>
          <w:szCs w:val="22"/>
        </w:rPr>
        <w:fldChar w:fldCharType="begin"/>
      </w:r>
      <w:r>
        <w:rPr>
          <w:sz w:val="22"/>
          <w:szCs w:val="22"/>
        </w:rPr>
        <w:instrText xml:space="preserve"> SEQ Figure \* ARABIC </w:instrText>
      </w:r>
      <w:r>
        <w:rPr>
          <w:sz w:val="22"/>
          <w:szCs w:val="22"/>
        </w:rPr>
        <w:fldChar w:fldCharType="separate"/>
      </w:r>
      <w:r>
        <w:rPr>
          <w:noProof/>
          <w:sz w:val="22"/>
          <w:szCs w:val="22"/>
        </w:rPr>
        <w:t>5</w:t>
      </w:r>
      <w:r>
        <w:rPr>
          <w:sz w:val="22"/>
          <w:szCs w:val="22"/>
        </w:rPr>
        <w:fldChar w:fldCharType="end"/>
      </w:r>
      <w:bookmarkEnd w:id="15"/>
      <w:r w:rsidRPr="008F587B">
        <w:rPr>
          <w:sz w:val="22"/>
          <w:szCs w:val="22"/>
        </w:rPr>
        <w:t xml:space="preserve">. </w:t>
      </w:r>
      <w:r w:rsidR="002542D8">
        <w:rPr>
          <w:sz w:val="22"/>
          <w:szCs w:val="22"/>
        </w:rPr>
        <w:t xml:space="preserve">Incidence of Direct Fiscal Policies by </w:t>
      </w:r>
      <w:r w:rsidR="0082349C">
        <w:rPr>
          <w:sz w:val="22"/>
          <w:szCs w:val="22"/>
        </w:rPr>
        <w:t xml:space="preserve">Selected </w:t>
      </w:r>
      <w:r w:rsidR="002542D8">
        <w:rPr>
          <w:sz w:val="22"/>
          <w:szCs w:val="22"/>
        </w:rPr>
        <w:t>Household Types</w:t>
      </w:r>
    </w:p>
    <w:p w14:paraId="21329B60" w14:textId="3CE66F4B" w:rsidR="00305090" w:rsidRDefault="001C1C7A" w:rsidP="00EA0AAD">
      <w:pPr>
        <w:jc w:val="center"/>
      </w:pPr>
      <w:r>
        <w:rPr>
          <w:noProof/>
        </w:rPr>
        <w:drawing>
          <wp:inline distT="0" distB="0" distL="0" distR="0" wp14:anchorId="6F487266" wp14:editId="25B9BC53">
            <wp:extent cx="5943600" cy="2999105"/>
            <wp:effectExtent l="0" t="0" r="0" b="0"/>
            <wp:docPr id="8" name="Chart 8">
              <a:extLst xmlns:a="http://schemas.openxmlformats.org/drawingml/2006/main">
                <a:ext uri="{FF2B5EF4-FFF2-40B4-BE49-F238E27FC236}">
                  <a16:creationId xmlns:a16="http://schemas.microsoft.com/office/drawing/2014/main" id="{030B9F3F-EA6C-465C-A503-BAD07D3E84B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F62B54E" w14:textId="2DC1A535" w:rsidR="00D132D8" w:rsidRDefault="00D132D8" w:rsidP="00874DDF">
      <w:pPr>
        <w:pStyle w:val="Caption"/>
        <w:keepNext/>
        <w:jc w:val="center"/>
        <w:rPr>
          <w:sz w:val="22"/>
          <w:szCs w:val="22"/>
        </w:rPr>
      </w:pPr>
      <w:r w:rsidRPr="008F587B">
        <w:rPr>
          <w:sz w:val="22"/>
          <w:szCs w:val="22"/>
        </w:rPr>
        <w:t xml:space="preserve">Figure </w:t>
      </w:r>
      <w:r w:rsidR="00B3634A">
        <w:rPr>
          <w:sz w:val="22"/>
          <w:szCs w:val="22"/>
        </w:rPr>
        <w:t>6</w:t>
      </w:r>
      <w:r w:rsidRPr="008F587B">
        <w:rPr>
          <w:sz w:val="22"/>
          <w:szCs w:val="22"/>
        </w:rPr>
        <w:t xml:space="preserve">. </w:t>
      </w:r>
      <w:r>
        <w:rPr>
          <w:sz w:val="22"/>
          <w:szCs w:val="22"/>
        </w:rPr>
        <w:t xml:space="preserve">Incidence of Direct Fiscal Policies </w:t>
      </w:r>
      <w:r w:rsidR="005B7FC1">
        <w:rPr>
          <w:sz w:val="22"/>
          <w:szCs w:val="22"/>
        </w:rPr>
        <w:t>for Households in the</w:t>
      </w:r>
      <w:r w:rsidR="004B665C">
        <w:rPr>
          <w:sz w:val="22"/>
          <w:szCs w:val="22"/>
        </w:rPr>
        <w:t xml:space="preserve"> 6</w:t>
      </w:r>
      <w:r w:rsidR="004B665C" w:rsidRPr="004B665C">
        <w:rPr>
          <w:sz w:val="22"/>
          <w:szCs w:val="22"/>
          <w:vertAlign w:val="superscript"/>
        </w:rPr>
        <w:t>th</w:t>
      </w:r>
      <w:r w:rsidR="004B665C">
        <w:rPr>
          <w:sz w:val="22"/>
          <w:szCs w:val="22"/>
        </w:rPr>
        <w:t xml:space="preserve"> Decile of </w:t>
      </w:r>
      <w:r w:rsidR="00874DDF">
        <w:rPr>
          <w:sz w:val="22"/>
          <w:szCs w:val="22"/>
        </w:rPr>
        <w:t xml:space="preserve">the </w:t>
      </w:r>
      <w:r w:rsidR="00563317">
        <w:rPr>
          <w:sz w:val="22"/>
          <w:szCs w:val="22"/>
        </w:rPr>
        <w:t>income distribution</w:t>
      </w:r>
    </w:p>
    <w:p w14:paraId="33622B83" w14:textId="20459C66" w:rsidR="00A71266" w:rsidRDefault="002B43BB" w:rsidP="00EA0AAD">
      <w:pPr>
        <w:jc w:val="center"/>
      </w:pPr>
      <w:r>
        <w:rPr>
          <w:noProof/>
        </w:rPr>
        <w:drawing>
          <wp:inline distT="0" distB="0" distL="0" distR="0" wp14:anchorId="298DC395" wp14:editId="617A76AB">
            <wp:extent cx="5943600" cy="2766695"/>
            <wp:effectExtent l="0" t="0" r="0" b="0"/>
            <wp:docPr id="9" name="Chart 9">
              <a:extLst xmlns:a="http://schemas.openxmlformats.org/drawingml/2006/main">
                <a:ext uri="{FF2B5EF4-FFF2-40B4-BE49-F238E27FC236}">
                  <a16:creationId xmlns:a16="http://schemas.microsoft.com/office/drawing/2014/main" id="{FA99D767-25EA-4C7A-8FEF-08DE8F5D5EC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5D883AA" w14:textId="32A5E8F9" w:rsidR="00FF62D6" w:rsidRDefault="0046730C" w:rsidP="00096AA3">
      <w:pPr>
        <w:pStyle w:val="ListParagraph"/>
        <w:spacing w:before="120" w:after="120" w:line="257" w:lineRule="auto"/>
        <w:ind w:left="0"/>
        <w:contextualSpacing w:val="0"/>
      </w:pPr>
      <w:r w:rsidRPr="0046730C" w:rsidDel="001461DC">
        <w:fldChar w:fldCharType="begin"/>
      </w:r>
      <w:r w:rsidRPr="0046730C" w:rsidDel="001461DC">
        <w:fldChar w:fldCharType="separate"/>
      </w:r>
      <w:r w:rsidRPr="0046730C" w:rsidDel="001461DC">
        <w:fldChar w:fldCharType="end"/>
      </w:r>
      <w:r w:rsidR="00DB6D57" w:rsidRPr="00E61AAC">
        <w:rPr>
          <w:b/>
          <w:bCs/>
        </w:rPr>
        <w:t xml:space="preserve">Direct fiscal policies </w:t>
      </w:r>
      <w:r w:rsidR="005E4DEF" w:rsidRPr="00E61AAC">
        <w:rPr>
          <w:b/>
          <w:bCs/>
        </w:rPr>
        <w:t xml:space="preserve">contribute to poverty reduction across </w:t>
      </w:r>
      <w:r w:rsidR="00766581" w:rsidRPr="00E61AAC">
        <w:rPr>
          <w:b/>
          <w:bCs/>
        </w:rPr>
        <w:t>all household types</w:t>
      </w:r>
      <w:r w:rsidR="00B55013" w:rsidRPr="00E61AAC">
        <w:rPr>
          <w:b/>
          <w:bCs/>
        </w:rPr>
        <w:t>.</w:t>
      </w:r>
      <w:r w:rsidR="008C295C" w:rsidRPr="00E61AAC">
        <w:t xml:space="preserve"> </w:t>
      </w:r>
      <w:r w:rsidR="00E70CA6" w:rsidRPr="00E61AAC">
        <w:t xml:space="preserve">Before </w:t>
      </w:r>
      <w:r w:rsidR="00934D3D" w:rsidRPr="00E61AAC">
        <w:t>accounting for</w:t>
      </w:r>
      <w:r w:rsidR="00E70CA6" w:rsidRPr="00E61AAC">
        <w:t xml:space="preserve"> the redistributive effect of the fiscal system, </w:t>
      </w:r>
      <w:r w:rsidR="006D05A6" w:rsidRPr="00E61AAC">
        <w:t xml:space="preserve">data </w:t>
      </w:r>
      <w:r w:rsidR="00865080" w:rsidRPr="00E61AAC">
        <w:t xml:space="preserve">show that </w:t>
      </w:r>
      <w:r w:rsidR="000755AA" w:rsidRPr="00E61AAC">
        <w:t xml:space="preserve">poverty is </w:t>
      </w:r>
      <w:r w:rsidR="007944E6" w:rsidRPr="00E61AAC">
        <w:t xml:space="preserve">considerably higher in </w:t>
      </w:r>
      <w:r w:rsidR="0019167F">
        <w:t xml:space="preserve">households comprised of a single woman with children and a couple with children where only the man works </w:t>
      </w:r>
      <w:r w:rsidR="00AD62DF" w:rsidRPr="00E61AAC">
        <w:t>(3</w:t>
      </w:r>
      <w:r w:rsidR="00415A5F">
        <w:t>5</w:t>
      </w:r>
      <w:r w:rsidR="00AD62DF" w:rsidRPr="00E61AAC">
        <w:t xml:space="preserve"> and </w:t>
      </w:r>
      <w:r w:rsidR="00415A5F">
        <w:t>31</w:t>
      </w:r>
      <w:r w:rsidR="00AD62DF" w:rsidRPr="00E61AAC">
        <w:t xml:space="preserve"> percent</w:t>
      </w:r>
      <w:r w:rsidR="003A35CF">
        <w:t>,</w:t>
      </w:r>
      <w:r w:rsidR="00AD62DF" w:rsidRPr="00E61AAC">
        <w:t xml:space="preserve"> respectively) </w:t>
      </w:r>
      <w:r w:rsidR="00A771C0" w:rsidRPr="00E61AAC">
        <w:t>(</w:t>
      </w:r>
      <w:r w:rsidR="00E40920" w:rsidRPr="00E61AAC">
        <w:fldChar w:fldCharType="begin"/>
      </w:r>
      <w:r w:rsidR="00E40920" w:rsidRPr="00E61AAC">
        <w:instrText xml:space="preserve"> REF _Ref75121490 \h </w:instrText>
      </w:r>
      <w:r w:rsidR="00E61AAC">
        <w:instrText xml:space="preserve"> \* MERGEFORMAT </w:instrText>
      </w:r>
      <w:r w:rsidR="00E40920" w:rsidRPr="00E61AAC">
        <w:fldChar w:fldCharType="separate"/>
      </w:r>
      <w:r w:rsidR="00E40920" w:rsidRPr="00E61AAC">
        <w:t xml:space="preserve">Figure </w:t>
      </w:r>
      <w:r w:rsidR="00E40920" w:rsidRPr="00E61AAC">
        <w:fldChar w:fldCharType="end"/>
      </w:r>
      <w:r w:rsidR="00D132D8">
        <w:t>7</w:t>
      </w:r>
      <w:r w:rsidR="00A771C0" w:rsidRPr="00E61AAC">
        <w:t>).</w:t>
      </w:r>
      <w:r w:rsidR="007944E6" w:rsidRPr="00E61AAC">
        <w:t xml:space="preserve"> </w:t>
      </w:r>
      <w:r w:rsidR="00B6658B">
        <w:t>Female single-person</w:t>
      </w:r>
      <w:r w:rsidR="00AD62DF" w:rsidRPr="00E61AAC">
        <w:t xml:space="preserve"> households are highly unlikely to </w:t>
      </w:r>
      <w:r w:rsidR="00C25B4B">
        <w:t>be</w:t>
      </w:r>
      <w:r w:rsidR="00D60960">
        <w:t xml:space="preserve"> poor </w:t>
      </w:r>
      <w:r w:rsidR="00AD62DF" w:rsidRPr="00E61AAC">
        <w:t>(</w:t>
      </w:r>
      <w:r w:rsidR="000D1A9A">
        <w:t>3</w:t>
      </w:r>
      <w:r w:rsidR="00AD62DF" w:rsidRPr="00E61AAC">
        <w:t xml:space="preserve"> percent)</w:t>
      </w:r>
      <w:r w:rsidR="00E85479">
        <w:t>, as are couples without children</w:t>
      </w:r>
      <w:r w:rsidR="00C108C1" w:rsidRPr="00E61AAC">
        <w:t xml:space="preserve">. </w:t>
      </w:r>
      <w:r w:rsidR="00362276" w:rsidRPr="00E61AAC">
        <w:t xml:space="preserve">When using </w:t>
      </w:r>
      <w:r w:rsidR="00D62DA7" w:rsidRPr="00E61AAC">
        <w:t>disposable income to measure po</w:t>
      </w:r>
      <w:r w:rsidR="004E7986" w:rsidRPr="00E61AAC">
        <w:t>verty,</w:t>
      </w:r>
      <w:r w:rsidR="00770B1C" w:rsidRPr="00E61AAC">
        <w:t xml:space="preserve"> </w:t>
      </w:r>
      <w:r w:rsidR="00C642A1">
        <w:t>results show t</w:t>
      </w:r>
      <w:r w:rsidR="00770B1C" w:rsidRPr="00E61AAC">
        <w:t>hat d</w:t>
      </w:r>
      <w:r w:rsidR="00706E97" w:rsidRPr="00E61AAC">
        <w:t xml:space="preserve">irect fiscal interventions </w:t>
      </w:r>
      <w:r w:rsidR="00770B1C" w:rsidRPr="00E61AAC">
        <w:t xml:space="preserve">in Uruguay </w:t>
      </w:r>
      <w:r w:rsidR="001114C5" w:rsidRPr="00E61AAC">
        <w:t xml:space="preserve">contribute to poverty </w:t>
      </w:r>
      <w:r w:rsidR="00770B1C" w:rsidRPr="00E61AAC">
        <w:t xml:space="preserve">reduction across </w:t>
      </w:r>
      <w:r w:rsidR="005C3EDB" w:rsidRPr="00E61AAC">
        <w:t>all types of households.</w:t>
      </w:r>
      <w:r w:rsidR="00F55F52" w:rsidRPr="00E61AAC">
        <w:t xml:space="preserve"> </w:t>
      </w:r>
      <w:r w:rsidR="00770B1C" w:rsidRPr="00E61AAC">
        <w:t xml:space="preserve">This reduction </w:t>
      </w:r>
      <w:r w:rsidR="00CA30EA" w:rsidRPr="00E61AAC">
        <w:t>in poverty</w:t>
      </w:r>
      <w:r w:rsidR="00770B1C" w:rsidRPr="00E61AAC">
        <w:t xml:space="preserve"> is particularly </w:t>
      </w:r>
      <w:r w:rsidR="00BB5D9A" w:rsidRPr="00E61AAC">
        <w:t xml:space="preserve">large </w:t>
      </w:r>
      <w:r w:rsidR="0026147C" w:rsidRPr="00E61AAC">
        <w:t xml:space="preserve">in the type of households that </w:t>
      </w:r>
      <w:r w:rsidR="0009472F" w:rsidRPr="00E61AAC">
        <w:t>experience higher pre-fiscal poverty rates</w:t>
      </w:r>
      <w:r w:rsidR="002B501F" w:rsidRPr="00E61AAC">
        <w:t xml:space="preserve">. </w:t>
      </w:r>
      <w:r w:rsidR="00F9673B" w:rsidRPr="00E61AAC">
        <w:t xml:space="preserve">For instance, </w:t>
      </w:r>
      <w:r w:rsidR="000C77CC" w:rsidRPr="00E61AAC">
        <w:t xml:space="preserve">direct taxes and transfers contribute </w:t>
      </w:r>
      <w:r w:rsidR="002C6801" w:rsidRPr="00E61AAC">
        <w:t xml:space="preserve">to a </w:t>
      </w:r>
      <w:r w:rsidR="000D1A9A">
        <w:t>3-percentage</w:t>
      </w:r>
      <w:r w:rsidR="002C6801" w:rsidRPr="00E61AAC">
        <w:t xml:space="preserve"> </w:t>
      </w:r>
      <w:r w:rsidR="006F1E39" w:rsidRPr="00E61AAC">
        <w:t>poin</w:t>
      </w:r>
      <w:r w:rsidR="003D6E38" w:rsidRPr="00E61AAC">
        <w:t xml:space="preserve">ts </w:t>
      </w:r>
      <w:r w:rsidR="003D6E38" w:rsidRPr="00E61AAC">
        <w:lastRenderedPageBreak/>
        <w:t xml:space="preserve">reduction </w:t>
      </w:r>
      <w:r w:rsidR="004647DB" w:rsidRPr="00E61AAC">
        <w:t xml:space="preserve">in the poverty rate of </w:t>
      </w:r>
      <w:r w:rsidR="000D1A9A">
        <w:t>female single-parent</w:t>
      </w:r>
      <w:r w:rsidR="008B2931" w:rsidRPr="00E61AAC">
        <w:t xml:space="preserve"> </w:t>
      </w:r>
      <w:r w:rsidR="004647DB" w:rsidRPr="00E61AAC">
        <w:t xml:space="preserve">households, whereas </w:t>
      </w:r>
      <w:r w:rsidR="002C695E" w:rsidRPr="00E61AAC">
        <w:t xml:space="preserve">they decrease poverty by 1 percentage point in </w:t>
      </w:r>
      <w:r w:rsidR="008450A8">
        <w:t xml:space="preserve">dual-earner </w:t>
      </w:r>
      <w:r w:rsidR="002C695E" w:rsidRPr="00E61AAC">
        <w:t>households</w:t>
      </w:r>
      <w:r w:rsidR="008B2931" w:rsidRPr="00E61AAC">
        <w:t xml:space="preserve"> </w:t>
      </w:r>
      <w:r w:rsidR="008450A8">
        <w:t>with children</w:t>
      </w:r>
      <w:r w:rsidR="002C695E" w:rsidRPr="00E61AAC">
        <w:t>.</w:t>
      </w:r>
      <w:r w:rsidR="000C77CC">
        <w:t xml:space="preserve"> </w:t>
      </w:r>
      <w:r w:rsidR="002B501F">
        <w:t xml:space="preserve"> </w:t>
      </w:r>
      <w:r w:rsidR="00770B1C">
        <w:t xml:space="preserve"> </w:t>
      </w:r>
      <w:r w:rsidR="00CA1A6D">
        <w:t xml:space="preserve"> </w:t>
      </w:r>
      <w:r w:rsidR="00F55F52">
        <w:t xml:space="preserve"> </w:t>
      </w:r>
      <w:r w:rsidR="00C108C1">
        <w:t xml:space="preserve"> </w:t>
      </w:r>
      <w:r w:rsidR="007944E6">
        <w:t xml:space="preserve"> </w:t>
      </w:r>
    </w:p>
    <w:p w14:paraId="087CEFEA" w14:textId="035221D5" w:rsidR="00D305F6" w:rsidRPr="000020FF" w:rsidRDefault="00631E13" w:rsidP="000020FF">
      <w:pPr>
        <w:pStyle w:val="Caption"/>
        <w:keepNext/>
        <w:jc w:val="center"/>
        <w:rPr>
          <w:sz w:val="22"/>
          <w:szCs w:val="22"/>
        </w:rPr>
      </w:pPr>
      <w:bookmarkStart w:id="16" w:name="_Ref75121490"/>
      <w:r w:rsidRPr="00631E13">
        <w:rPr>
          <w:sz w:val="22"/>
          <w:szCs w:val="22"/>
        </w:rPr>
        <w:t>Figure</w:t>
      </w:r>
      <w:bookmarkEnd w:id="16"/>
      <w:r w:rsidR="00CC2A36">
        <w:rPr>
          <w:sz w:val="22"/>
          <w:szCs w:val="22"/>
        </w:rPr>
        <w:t xml:space="preserve"> </w:t>
      </w:r>
      <w:r w:rsidR="00D132D8">
        <w:rPr>
          <w:sz w:val="22"/>
          <w:szCs w:val="22"/>
        </w:rPr>
        <w:t>7</w:t>
      </w:r>
      <w:r w:rsidRPr="00631E13">
        <w:rPr>
          <w:sz w:val="22"/>
          <w:szCs w:val="22"/>
        </w:rPr>
        <w:t xml:space="preserve">. </w:t>
      </w:r>
      <w:r w:rsidR="00F477C5">
        <w:rPr>
          <w:sz w:val="22"/>
          <w:szCs w:val="22"/>
        </w:rPr>
        <w:t>Impact of Direct Fiscal Policies on Poverty by Household Types</w:t>
      </w:r>
    </w:p>
    <w:p w14:paraId="3E92F6BA" w14:textId="79F1FD4A" w:rsidR="002A1346" w:rsidRDefault="005967F7" w:rsidP="002F64DC">
      <w:pPr>
        <w:jc w:val="center"/>
      </w:pPr>
      <w:r>
        <w:rPr>
          <w:noProof/>
        </w:rPr>
        <w:drawing>
          <wp:inline distT="0" distB="0" distL="0" distR="0" wp14:anchorId="538EEFAD" wp14:editId="7BAB3756">
            <wp:extent cx="5463540" cy="3553460"/>
            <wp:effectExtent l="0" t="0" r="3810" b="8890"/>
            <wp:docPr id="10" name="Chart 10">
              <a:extLst xmlns:a="http://schemas.openxmlformats.org/drawingml/2006/main">
                <a:ext uri="{FF2B5EF4-FFF2-40B4-BE49-F238E27FC236}">
                  <a16:creationId xmlns:a16="http://schemas.microsoft.com/office/drawing/2014/main" id="{2CA403AD-F2C8-4190-85AB-BF76F0F44F6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69E9A50C" w14:textId="14783CF4" w:rsidR="008B3DCE" w:rsidRDefault="00677BA2" w:rsidP="00677BA2">
      <w:pPr>
        <w:pStyle w:val="Heading2"/>
        <w:numPr>
          <w:ilvl w:val="0"/>
          <w:numId w:val="5"/>
        </w:numPr>
      </w:pPr>
      <w:bookmarkStart w:id="17" w:name="_Toc136425146"/>
      <w:r>
        <w:t>Incidence analysis contrasted under a simulated scenario of higher female labor force participation</w:t>
      </w:r>
      <w:bookmarkEnd w:id="17"/>
    </w:p>
    <w:p w14:paraId="5846C29E" w14:textId="48A47E73" w:rsidR="006F0F15" w:rsidRDefault="00B327B8" w:rsidP="00F02025">
      <w:pPr>
        <w:spacing w:before="120" w:after="120" w:line="257" w:lineRule="auto"/>
      </w:pPr>
      <w:r w:rsidRPr="004A672B">
        <w:rPr>
          <w:b/>
          <w:bCs/>
        </w:rPr>
        <w:t>The fiscal system contributes to reducing the gender income gap</w:t>
      </w:r>
      <w:r w:rsidR="00F76AEB">
        <w:rPr>
          <w:b/>
          <w:bCs/>
        </w:rPr>
        <w:t xml:space="preserve"> in Uruguay</w:t>
      </w:r>
      <w:r w:rsidRPr="004A672B">
        <w:rPr>
          <w:b/>
          <w:bCs/>
        </w:rPr>
        <w:t xml:space="preserve">, particularly through </w:t>
      </w:r>
      <w:r w:rsidR="00CD46F1">
        <w:rPr>
          <w:b/>
          <w:bCs/>
        </w:rPr>
        <w:t>labor income</w:t>
      </w:r>
      <w:r w:rsidR="004A672B" w:rsidRPr="004A672B">
        <w:rPr>
          <w:b/>
          <w:bCs/>
        </w:rPr>
        <w:t xml:space="preserve"> taxes.</w:t>
      </w:r>
      <w:r w:rsidR="004A672B">
        <w:t xml:space="preserve"> The gender gap in </w:t>
      </w:r>
      <w:r w:rsidR="00D554CE">
        <w:t xml:space="preserve">pre-fiscal </w:t>
      </w:r>
      <w:r w:rsidR="004A672B">
        <w:t>income is 154,9</w:t>
      </w:r>
      <w:r w:rsidR="00D554CE">
        <w:t>17</w:t>
      </w:r>
      <w:r w:rsidR="004A672B">
        <w:t xml:space="preserve"> pesos, representing 28.8 percent of the average annual income of men (Table 2). The tax-benefit system, through which market income is transformed into disposable income, contributes to closing this gap by redistributing between men and women. </w:t>
      </w:r>
      <w:r w:rsidR="00D92ADF">
        <w:t>D</w:t>
      </w:r>
      <w:r w:rsidR="004A672B">
        <w:t xml:space="preserve">irect fiscal policies in Uruguay narrow the gender income gap by about 1.7 percentage points. </w:t>
      </w:r>
      <w:r w:rsidR="00733E6B">
        <w:t>Labor income taxes are</w:t>
      </w:r>
      <w:r w:rsidR="004A672B">
        <w:t xml:space="preserve"> responsible for much of the cushioning effect, whereas </w:t>
      </w:r>
      <w:r w:rsidR="00CF1C9D">
        <w:t>the benefit system</w:t>
      </w:r>
      <w:r w:rsidR="004A672B">
        <w:t xml:space="preserve"> contribute</w:t>
      </w:r>
      <w:r w:rsidR="00025ECE">
        <w:t>s</w:t>
      </w:r>
      <w:r w:rsidR="004A672B">
        <w:t xml:space="preserve"> relatively little to closing the gender gap in income.</w:t>
      </w:r>
      <w:r w:rsidR="002C5A76">
        <w:t xml:space="preserve"> This suggests that </w:t>
      </w:r>
      <w:r w:rsidR="00602A7B">
        <w:t xml:space="preserve">income redistribution is partly explained by gender work </w:t>
      </w:r>
      <w:r w:rsidR="000C70A3">
        <w:t xml:space="preserve">gaps </w:t>
      </w:r>
      <w:r w:rsidR="00602A7B">
        <w:t xml:space="preserve">and </w:t>
      </w:r>
      <w:r w:rsidR="000C70A3">
        <w:t xml:space="preserve">gender </w:t>
      </w:r>
      <w:r w:rsidR="00602A7B">
        <w:t xml:space="preserve">wage gaps. </w:t>
      </w:r>
    </w:p>
    <w:p w14:paraId="12CF1432" w14:textId="2EB6E865" w:rsidR="00F02025" w:rsidRDefault="00840B33" w:rsidP="00F02025">
      <w:pPr>
        <w:spacing w:before="120" w:after="120" w:line="257" w:lineRule="auto"/>
      </w:pPr>
      <w:r w:rsidRPr="00D266EE">
        <w:rPr>
          <w:b/>
          <w:bCs/>
        </w:rPr>
        <w:t xml:space="preserve">Gender gaps in labor market participation and labor income generation are important determinants of </w:t>
      </w:r>
      <w:r w:rsidR="00C233F6">
        <w:rPr>
          <w:b/>
          <w:bCs/>
        </w:rPr>
        <w:t xml:space="preserve">the </w:t>
      </w:r>
      <w:r w:rsidRPr="00D266EE">
        <w:rPr>
          <w:b/>
          <w:bCs/>
        </w:rPr>
        <w:t xml:space="preserve">differences in </w:t>
      </w:r>
      <w:r w:rsidR="00D266EE" w:rsidRPr="00D266EE">
        <w:rPr>
          <w:b/>
          <w:bCs/>
        </w:rPr>
        <w:t>fiscal incidence between men and women.</w:t>
      </w:r>
      <w:r w:rsidR="00D266EE">
        <w:t xml:space="preserve"> </w:t>
      </w:r>
      <w:r w:rsidR="00F02025">
        <w:t xml:space="preserve">Uruguayan women participate less </w:t>
      </w:r>
      <w:r w:rsidR="00F02025" w:rsidRPr="00D564D6">
        <w:t xml:space="preserve">in the labor market than men, despite having equal or better qualifications. In 2018, about 55.8 percent of working-age women were actively participating in the labor market, compared to 73.7 percent of men. Conditional on workers’ and job characteristics, women earn on average </w:t>
      </w:r>
      <w:r w:rsidR="00CD2CD2">
        <w:t xml:space="preserve">almost </w:t>
      </w:r>
      <w:r w:rsidR="00F02025" w:rsidRPr="00D564D6">
        <w:t>30 percent less than men.</w:t>
      </w:r>
      <w:r w:rsidR="00F02025">
        <w:t xml:space="preserve"> </w:t>
      </w:r>
      <w:r w:rsidR="00F02025" w:rsidRPr="00D564D6">
        <w:t>In this section, we use the CEQ</w:t>
      </w:r>
      <w:r w:rsidR="00543C5B">
        <w:t xml:space="preserve"> f</w:t>
      </w:r>
      <w:r w:rsidR="00F02025" w:rsidRPr="00D564D6">
        <w:t xml:space="preserve">ramework to simulate the impacts </w:t>
      </w:r>
      <w:r w:rsidR="00770FF2" w:rsidRPr="00D564D6">
        <w:t xml:space="preserve">on poverty, inequality, and public finances </w:t>
      </w:r>
      <w:r w:rsidR="00F02025" w:rsidRPr="00D564D6">
        <w:t xml:space="preserve">of an exogenous </w:t>
      </w:r>
      <w:r w:rsidR="00C364A2">
        <w:t>increase</w:t>
      </w:r>
      <w:r w:rsidR="00F02025">
        <w:t xml:space="preserve"> in </w:t>
      </w:r>
      <w:r w:rsidR="00C364A2">
        <w:t>female labor force participation</w:t>
      </w:r>
      <w:r w:rsidR="00F02025" w:rsidRPr="00D564D6">
        <w:t>.</w:t>
      </w:r>
    </w:p>
    <w:p w14:paraId="613A8099" w14:textId="77777777" w:rsidR="001D7624" w:rsidRPr="00D1501B" w:rsidRDefault="001D7624" w:rsidP="001D7624">
      <w:pPr>
        <w:pStyle w:val="Caption"/>
        <w:keepNext/>
        <w:jc w:val="center"/>
        <w:rPr>
          <w:sz w:val="22"/>
          <w:szCs w:val="22"/>
        </w:rPr>
      </w:pPr>
      <w:r w:rsidRPr="00555BEA">
        <w:rPr>
          <w:sz w:val="22"/>
          <w:szCs w:val="22"/>
        </w:rPr>
        <w:lastRenderedPageBreak/>
        <w:t xml:space="preserve">Table </w:t>
      </w:r>
      <w:r>
        <w:rPr>
          <w:sz w:val="22"/>
          <w:szCs w:val="22"/>
        </w:rPr>
        <w:t>2</w:t>
      </w:r>
      <w:r w:rsidRPr="00555BEA">
        <w:rPr>
          <w:sz w:val="22"/>
          <w:szCs w:val="22"/>
        </w:rPr>
        <w:t xml:space="preserve">. </w:t>
      </w:r>
      <w:r>
        <w:rPr>
          <w:sz w:val="22"/>
          <w:szCs w:val="22"/>
        </w:rPr>
        <w:t>Gender Income Gaps</w:t>
      </w:r>
    </w:p>
    <w:tbl>
      <w:tblPr>
        <w:tblW w:w="9305" w:type="dxa"/>
        <w:tblLook w:val="04A0" w:firstRow="1" w:lastRow="0" w:firstColumn="1" w:lastColumn="0" w:noHBand="0" w:noVBand="1"/>
      </w:tblPr>
      <w:tblGrid>
        <w:gridCol w:w="1925"/>
        <w:gridCol w:w="1845"/>
        <w:gridCol w:w="1845"/>
        <w:gridCol w:w="1845"/>
        <w:gridCol w:w="1845"/>
      </w:tblGrid>
      <w:tr w:rsidR="001D7624" w:rsidRPr="008369B7" w14:paraId="1789860B" w14:textId="77777777" w:rsidTr="006B2AE2">
        <w:trPr>
          <w:trHeight w:val="587"/>
        </w:trPr>
        <w:tc>
          <w:tcPr>
            <w:tcW w:w="1925" w:type="dxa"/>
            <w:tcBorders>
              <w:top w:val="nil"/>
              <w:left w:val="nil"/>
              <w:bottom w:val="nil"/>
              <w:right w:val="nil"/>
            </w:tcBorders>
            <w:noWrap/>
            <w:vAlign w:val="bottom"/>
            <w:hideMark/>
          </w:tcPr>
          <w:p w14:paraId="1C645A75" w14:textId="77777777" w:rsidR="001D7624" w:rsidRPr="008369B7" w:rsidRDefault="001D7624" w:rsidP="006B2AE2">
            <w:pPr>
              <w:spacing w:after="0" w:line="240" w:lineRule="auto"/>
              <w:rPr>
                <w:rFonts w:ascii="Times New Roman" w:eastAsia="Times New Roman" w:hAnsi="Times New Roman" w:cs="Times New Roman"/>
                <w:sz w:val="20"/>
                <w:szCs w:val="20"/>
              </w:rPr>
            </w:pPr>
          </w:p>
        </w:tc>
        <w:tc>
          <w:tcPr>
            <w:tcW w:w="1845" w:type="dxa"/>
            <w:tcBorders>
              <w:top w:val="nil"/>
              <w:left w:val="nil"/>
              <w:bottom w:val="nil"/>
              <w:right w:val="nil"/>
            </w:tcBorders>
            <w:shd w:val="clear" w:color="000000" w:fill="8497B0"/>
            <w:vAlign w:val="center"/>
            <w:hideMark/>
          </w:tcPr>
          <w:p w14:paraId="50EEEB0F" w14:textId="77777777" w:rsidR="001D7624" w:rsidRPr="008369B7" w:rsidRDefault="001D7624" w:rsidP="006B2AE2">
            <w:pPr>
              <w:spacing w:after="0" w:line="240" w:lineRule="auto"/>
              <w:jc w:val="center"/>
              <w:rPr>
                <w:rFonts w:ascii="Calibri" w:eastAsia="Times New Roman" w:hAnsi="Calibri" w:cs="Calibri"/>
                <w:b/>
                <w:bCs/>
                <w:color w:val="FFFFFF"/>
                <w:sz w:val="20"/>
                <w:szCs w:val="20"/>
              </w:rPr>
            </w:pPr>
            <w:r w:rsidRPr="008369B7">
              <w:rPr>
                <w:rFonts w:ascii="Calibri" w:eastAsia="Times New Roman" w:hAnsi="Calibri" w:cs="Calibri"/>
                <w:b/>
                <w:bCs/>
                <w:color w:val="FFFFFF"/>
                <w:sz w:val="20"/>
                <w:szCs w:val="20"/>
              </w:rPr>
              <w:t>Pre-fiscal income</w:t>
            </w:r>
          </w:p>
        </w:tc>
        <w:tc>
          <w:tcPr>
            <w:tcW w:w="1845" w:type="dxa"/>
            <w:tcBorders>
              <w:top w:val="nil"/>
              <w:left w:val="nil"/>
              <w:bottom w:val="nil"/>
              <w:right w:val="nil"/>
            </w:tcBorders>
            <w:shd w:val="clear" w:color="000000" w:fill="8497B0"/>
            <w:vAlign w:val="center"/>
            <w:hideMark/>
          </w:tcPr>
          <w:p w14:paraId="78BC6CE5" w14:textId="6993E80D" w:rsidR="001D7624" w:rsidRPr="008369B7" w:rsidRDefault="001D7624" w:rsidP="006B2AE2">
            <w:pPr>
              <w:spacing w:after="0" w:line="240" w:lineRule="auto"/>
              <w:jc w:val="center"/>
              <w:rPr>
                <w:rFonts w:ascii="Calibri" w:eastAsia="Times New Roman" w:hAnsi="Calibri" w:cs="Calibri"/>
                <w:b/>
                <w:bCs/>
                <w:color w:val="FFFFFF"/>
                <w:sz w:val="20"/>
                <w:szCs w:val="20"/>
              </w:rPr>
            </w:pPr>
            <w:r w:rsidRPr="008369B7">
              <w:rPr>
                <w:rFonts w:ascii="Calibri" w:eastAsia="Times New Roman" w:hAnsi="Calibri" w:cs="Calibri"/>
                <w:b/>
                <w:bCs/>
                <w:color w:val="FFFFFF"/>
                <w:sz w:val="20"/>
                <w:szCs w:val="20"/>
              </w:rPr>
              <w:t xml:space="preserve">Pre-fiscal </w:t>
            </w:r>
            <w:r w:rsidR="0024618C">
              <w:rPr>
                <w:rFonts w:ascii="Calibri" w:eastAsia="Times New Roman" w:hAnsi="Calibri" w:cs="Calibri"/>
                <w:b/>
                <w:bCs/>
                <w:color w:val="FFFFFF"/>
                <w:sz w:val="20"/>
                <w:szCs w:val="20"/>
              </w:rPr>
              <w:t>-</w:t>
            </w:r>
            <w:r w:rsidRPr="008369B7">
              <w:rPr>
                <w:rFonts w:ascii="Calibri" w:eastAsia="Times New Roman" w:hAnsi="Calibri" w:cs="Calibri"/>
                <w:b/>
                <w:bCs/>
                <w:color w:val="FFFFFF"/>
                <w:sz w:val="20"/>
                <w:szCs w:val="20"/>
              </w:rPr>
              <w:t xml:space="preserve"> direct taxes</w:t>
            </w:r>
          </w:p>
        </w:tc>
        <w:tc>
          <w:tcPr>
            <w:tcW w:w="1845" w:type="dxa"/>
            <w:tcBorders>
              <w:top w:val="nil"/>
              <w:left w:val="nil"/>
              <w:bottom w:val="nil"/>
              <w:right w:val="nil"/>
            </w:tcBorders>
            <w:shd w:val="clear" w:color="000000" w:fill="8497B0"/>
            <w:vAlign w:val="center"/>
            <w:hideMark/>
          </w:tcPr>
          <w:p w14:paraId="6FAA9436" w14:textId="77777777" w:rsidR="001D7624" w:rsidRPr="008369B7" w:rsidRDefault="001D7624" w:rsidP="006B2AE2">
            <w:pPr>
              <w:spacing w:after="0" w:line="240" w:lineRule="auto"/>
              <w:jc w:val="center"/>
              <w:rPr>
                <w:rFonts w:ascii="Calibri" w:eastAsia="Times New Roman" w:hAnsi="Calibri" w:cs="Calibri"/>
                <w:b/>
                <w:bCs/>
                <w:color w:val="FFFFFF"/>
                <w:sz w:val="20"/>
                <w:szCs w:val="20"/>
              </w:rPr>
            </w:pPr>
            <w:r w:rsidRPr="008369B7">
              <w:rPr>
                <w:rFonts w:ascii="Calibri" w:eastAsia="Times New Roman" w:hAnsi="Calibri" w:cs="Calibri"/>
                <w:b/>
                <w:bCs/>
                <w:color w:val="FFFFFF"/>
                <w:sz w:val="20"/>
                <w:szCs w:val="20"/>
              </w:rPr>
              <w:t>Pre-fiscal + direct transfers</w:t>
            </w:r>
          </w:p>
        </w:tc>
        <w:tc>
          <w:tcPr>
            <w:tcW w:w="1845" w:type="dxa"/>
            <w:tcBorders>
              <w:top w:val="nil"/>
              <w:left w:val="nil"/>
              <w:bottom w:val="nil"/>
              <w:right w:val="nil"/>
            </w:tcBorders>
            <w:shd w:val="clear" w:color="000000" w:fill="8497B0"/>
            <w:vAlign w:val="center"/>
            <w:hideMark/>
          </w:tcPr>
          <w:p w14:paraId="7E04C1BE" w14:textId="77777777" w:rsidR="001D7624" w:rsidRPr="008369B7" w:rsidRDefault="001D7624" w:rsidP="006B2AE2">
            <w:pPr>
              <w:spacing w:after="0" w:line="240" w:lineRule="auto"/>
              <w:jc w:val="center"/>
              <w:rPr>
                <w:rFonts w:ascii="Calibri" w:eastAsia="Times New Roman" w:hAnsi="Calibri" w:cs="Calibri"/>
                <w:b/>
                <w:bCs/>
                <w:color w:val="FFFFFF"/>
                <w:sz w:val="20"/>
                <w:szCs w:val="20"/>
              </w:rPr>
            </w:pPr>
            <w:r w:rsidRPr="008369B7">
              <w:rPr>
                <w:rFonts w:ascii="Calibri" w:eastAsia="Times New Roman" w:hAnsi="Calibri" w:cs="Calibri"/>
                <w:b/>
                <w:bCs/>
                <w:color w:val="FFFFFF"/>
                <w:sz w:val="20"/>
                <w:szCs w:val="20"/>
              </w:rPr>
              <w:t>Disposable income</w:t>
            </w:r>
          </w:p>
        </w:tc>
      </w:tr>
      <w:tr w:rsidR="00EA2714" w:rsidRPr="008369B7" w14:paraId="7557F586" w14:textId="77777777" w:rsidTr="006B2AE2">
        <w:trPr>
          <w:trHeight w:val="261"/>
        </w:trPr>
        <w:tc>
          <w:tcPr>
            <w:tcW w:w="1925" w:type="dxa"/>
            <w:tcBorders>
              <w:top w:val="single" w:sz="4" w:space="0" w:color="auto"/>
              <w:left w:val="nil"/>
              <w:bottom w:val="nil"/>
              <w:right w:val="nil"/>
            </w:tcBorders>
            <w:noWrap/>
            <w:vAlign w:val="bottom"/>
            <w:hideMark/>
          </w:tcPr>
          <w:p w14:paraId="11E81CC1" w14:textId="77777777" w:rsidR="00EA2714" w:rsidRPr="008369B7" w:rsidRDefault="00EA2714" w:rsidP="00EA2714">
            <w:pPr>
              <w:spacing w:after="0" w:line="240" w:lineRule="auto"/>
              <w:rPr>
                <w:rFonts w:ascii="Calibri" w:eastAsia="Times New Roman" w:hAnsi="Calibri" w:cs="Calibri"/>
                <w:color w:val="000000"/>
                <w:sz w:val="20"/>
                <w:szCs w:val="20"/>
              </w:rPr>
            </w:pPr>
            <w:r w:rsidRPr="008369B7">
              <w:rPr>
                <w:rFonts w:ascii="Calibri" w:eastAsia="Times New Roman" w:hAnsi="Calibri" w:cs="Calibri"/>
                <w:color w:val="000000"/>
                <w:sz w:val="20"/>
                <w:szCs w:val="20"/>
              </w:rPr>
              <w:t>Male</w:t>
            </w:r>
          </w:p>
        </w:tc>
        <w:tc>
          <w:tcPr>
            <w:tcW w:w="1845" w:type="dxa"/>
            <w:tcBorders>
              <w:top w:val="single" w:sz="4" w:space="0" w:color="auto"/>
              <w:left w:val="nil"/>
              <w:bottom w:val="nil"/>
              <w:right w:val="nil"/>
            </w:tcBorders>
            <w:noWrap/>
            <w:hideMark/>
          </w:tcPr>
          <w:p w14:paraId="10A3D9E7" w14:textId="4CB4D28F" w:rsidR="00EA2714" w:rsidRPr="008369B7" w:rsidRDefault="00EA2714" w:rsidP="00EA2714">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537</w:t>
            </w:r>
            <w:r w:rsidR="00124E7E">
              <w:rPr>
                <w:rFonts w:ascii="Calibri" w:eastAsia="Times New Roman" w:hAnsi="Calibri" w:cs="Calibri"/>
                <w:color w:val="000000"/>
                <w:sz w:val="20"/>
                <w:szCs w:val="20"/>
              </w:rPr>
              <w:t>,</w:t>
            </w:r>
            <w:r>
              <w:rPr>
                <w:rFonts w:ascii="Calibri" w:eastAsia="Times New Roman" w:hAnsi="Calibri" w:cs="Calibri"/>
                <w:color w:val="000000"/>
                <w:sz w:val="20"/>
                <w:szCs w:val="20"/>
              </w:rPr>
              <w:t>668.8</w:t>
            </w:r>
          </w:p>
        </w:tc>
        <w:tc>
          <w:tcPr>
            <w:tcW w:w="1845" w:type="dxa"/>
            <w:tcBorders>
              <w:top w:val="single" w:sz="4" w:space="0" w:color="auto"/>
              <w:left w:val="nil"/>
              <w:bottom w:val="nil"/>
              <w:right w:val="nil"/>
            </w:tcBorders>
            <w:noWrap/>
            <w:hideMark/>
          </w:tcPr>
          <w:p w14:paraId="78EB38D3" w14:textId="39D893C4" w:rsidR="00EA2714" w:rsidRPr="008369B7" w:rsidRDefault="00EA2714" w:rsidP="00EA2714">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473</w:t>
            </w:r>
            <w:r w:rsidR="00124E7E">
              <w:rPr>
                <w:rFonts w:ascii="Calibri" w:eastAsia="Times New Roman" w:hAnsi="Calibri" w:cs="Calibri"/>
                <w:color w:val="000000"/>
                <w:sz w:val="20"/>
                <w:szCs w:val="20"/>
              </w:rPr>
              <w:t>,</w:t>
            </w:r>
            <w:r>
              <w:rPr>
                <w:rFonts w:ascii="Calibri" w:eastAsia="Times New Roman" w:hAnsi="Calibri" w:cs="Calibri"/>
                <w:color w:val="000000"/>
                <w:sz w:val="20"/>
                <w:szCs w:val="20"/>
              </w:rPr>
              <w:t>281.1</w:t>
            </w:r>
          </w:p>
        </w:tc>
        <w:tc>
          <w:tcPr>
            <w:tcW w:w="1845" w:type="dxa"/>
            <w:tcBorders>
              <w:top w:val="single" w:sz="4" w:space="0" w:color="auto"/>
              <w:left w:val="nil"/>
              <w:bottom w:val="nil"/>
              <w:right w:val="nil"/>
            </w:tcBorders>
            <w:noWrap/>
            <w:hideMark/>
          </w:tcPr>
          <w:p w14:paraId="72EFE28C" w14:textId="20BC41F6" w:rsidR="00EA2714" w:rsidRPr="008369B7" w:rsidRDefault="00EA2714" w:rsidP="00EA2714">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545</w:t>
            </w:r>
            <w:r w:rsidR="00124E7E">
              <w:rPr>
                <w:rFonts w:ascii="Calibri" w:eastAsia="Times New Roman" w:hAnsi="Calibri" w:cs="Calibri"/>
                <w:color w:val="000000"/>
                <w:sz w:val="20"/>
                <w:szCs w:val="20"/>
              </w:rPr>
              <w:t>,</w:t>
            </w:r>
            <w:r>
              <w:rPr>
                <w:rFonts w:ascii="Calibri" w:eastAsia="Times New Roman" w:hAnsi="Calibri" w:cs="Calibri"/>
                <w:color w:val="000000"/>
                <w:sz w:val="20"/>
                <w:szCs w:val="20"/>
              </w:rPr>
              <w:t>724.8</w:t>
            </w:r>
          </w:p>
        </w:tc>
        <w:tc>
          <w:tcPr>
            <w:tcW w:w="1845" w:type="dxa"/>
            <w:tcBorders>
              <w:top w:val="single" w:sz="4" w:space="0" w:color="auto"/>
              <w:left w:val="nil"/>
              <w:bottom w:val="nil"/>
              <w:right w:val="nil"/>
            </w:tcBorders>
            <w:noWrap/>
            <w:hideMark/>
          </w:tcPr>
          <w:p w14:paraId="77D30446" w14:textId="2FA8AA10" w:rsidR="00EA2714" w:rsidRPr="008369B7" w:rsidRDefault="00EA2714" w:rsidP="00EA2714">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481</w:t>
            </w:r>
            <w:r w:rsidR="00124E7E">
              <w:rPr>
                <w:rFonts w:ascii="Calibri" w:eastAsia="Times New Roman" w:hAnsi="Calibri" w:cs="Calibri"/>
                <w:color w:val="000000"/>
                <w:sz w:val="20"/>
                <w:szCs w:val="20"/>
              </w:rPr>
              <w:t>,</w:t>
            </w:r>
            <w:r>
              <w:rPr>
                <w:rFonts w:ascii="Calibri" w:eastAsia="Times New Roman" w:hAnsi="Calibri" w:cs="Calibri"/>
                <w:color w:val="000000"/>
                <w:sz w:val="20"/>
                <w:szCs w:val="20"/>
              </w:rPr>
              <w:t>337.1</w:t>
            </w:r>
          </w:p>
        </w:tc>
      </w:tr>
      <w:tr w:rsidR="00EA2714" w:rsidRPr="008369B7" w14:paraId="06256360" w14:textId="77777777" w:rsidTr="006B2AE2">
        <w:trPr>
          <w:trHeight w:val="261"/>
        </w:trPr>
        <w:tc>
          <w:tcPr>
            <w:tcW w:w="1925" w:type="dxa"/>
            <w:tcBorders>
              <w:top w:val="nil"/>
              <w:left w:val="nil"/>
              <w:bottom w:val="single" w:sz="4" w:space="0" w:color="auto"/>
              <w:right w:val="nil"/>
            </w:tcBorders>
            <w:noWrap/>
            <w:vAlign w:val="bottom"/>
            <w:hideMark/>
          </w:tcPr>
          <w:p w14:paraId="4A731EE0" w14:textId="77777777" w:rsidR="00EA2714" w:rsidRPr="008369B7" w:rsidRDefault="00EA2714" w:rsidP="00EA2714">
            <w:pPr>
              <w:spacing w:after="0" w:line="240" w:lineRule="auto"/>
              <w:rPr>
                <w:rFonts w:ascii="Calibri" w:eastAsia="Times New Roman" w:hAnsi="Calibri" w:cs="Calibri"/>
                <w:color w:val="000000"/>
                <w:sz w:val="20"/>
                <w:szCs w:val="20"/>
              </w:rPr>
            </w:pPr>
            <w:r w:rsidRPr="008369B7">
              <w:rPr>
                <w:rFonts w:ascii="Calibri" w:eastAsia="Times New Roman" w:hAnsi="Calibri" w:cs="Calibri"/>
                <w:color w:val="000000"/>
                <w:sz w:val="20"/>
                <w:szCs w:val="20"/>
              </w:rPr>
              <w:t>Female</w:t>
            </w:r>
          </w:p>
        </w:tc>
        <w:tc>
          <w:tcPr>
            <w:tcW w:w="1845" w:type="dxa"/>
            <w:tcBorders>
              <w:top w:val="nil"/>
              <w:left w:val="nil"/>
              <w:bottom w:val="single" w:sz="4" w:space="0" w:color="auto"/>
              <w:right w:val="nil"/>
            </w:tcBorders>
            <w:noWrap/>
            <w:hideMark/>
          </w:tcPr>
          <w:p w14:paraId="3D744154" w14:textId="6E74319F" w:rsidR="00EA2714" w:rsidRPr="008369B7" w:rsidRDefault="00EA2714" w:rsidP="00EA2714">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382</w:t>
            </w:r>
            <w:r w:rsidR="00124E7E">
              <w:rPr>
                <w:rFonts w:ascii="Calibri" w:eastAsia="Times New Roman" w:hAnsi="Calibri" w:cs="Calibri"/>
                <w:color w:val="000000"/>
                <w:sz w:val="20"/>
                <w:szCs w:val="20"/>
              </w:rPr>
              <w:t>,</w:t>
            </w:r>
            <w:r>
              <w:rPr>
                <w:rFonts w:ascii="Calibri" w:eastAsia="Times New Roman" w:hAnsi="Calibri" w:cs="Calibri"/>
                <w:color w:val="000000"/>
                <w:sz w:val="20"/>
                <w:szCs w:val="20"/>
              </w:rPr>
              <w:t>751.7</w:t>
            </w:r>
          </w:p>
        </w:tc>
        <w:tc>
          <w:tcPr>
            <w:tcW w:w="1845" w:type="dxa"/>
            <w:tcBorders>
              <w:top w:val="nil"/>
              <w:left w:val="nil"/>
              <w:bottom w:val="single" w:sz="4" w:space="0" w:color="auto"/>
              <w:right w:val="nil"/>
            </w:tcBorders>
            <w:noWrap/>
            <w:hideMark/>
          </w:tcPr>
          <w:p w14:paraId="2FFB1812" w14:textId="3E4EEACA" w:rsidR="00EA2714" w:rsidRPr="008369B7" w:rsidRDefault="00EA2714" w:rsidP="00EA2714">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341</w:t>
            </w:r>
            <w:r w:rsidR="00124E7E">
              <w:rPr>
                <w:rFonts w:ascii="Calibri" w:eastAsia="Times New Roman" w:hAnsi="Calibri" w:cs="Calibri"/>
                <w:color w:val="000000"/>
                <w:sz w:val="20"/>
                <w:szCs w:val="20"/>
              </w:rPr>
              <w:t>,</w:t>
            </w:r>
            <w:r>
              <w:rPr>
                <w:rFonts w:ascii="Calibri" w:eastAsia="Times New Roman" w:hAnsi="Calibri" w:cs="Calibri"/>
                <w:color w:val="000000"/>
                <w:sz w:val="20"/>
                <w:szCs w:val="20"/>
              </w:rPr>
              <w:t>183.8</w:t>
            </w:r>
          </w:p>
        </w:tc>
        <w:tc>
          <w:tcPr>
            <w:tcW w:w="1845" w:type="dxa"/>
            <w:tcBorders>
              <w:top w:val="nil"/>
              <w:left w:val="nil"/>
              <w:bottom w:val="single" w:sz="4" w:space="0" w:color="auto"/>
              <w:right w:val="nil"/>
            </w:tcBorders>
            <w:noWrap/>
            <w:hideMark/>
          </w:tcPr>
          <w:p w14:paraId="4ED73B3C" w14:textId="401F746E" w:rsidR="00EA2714" w:rsidRPr="008369B7" w:rsidRDefault="00EA2714" w:rsidP="00EA2714">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392</w:t>
            </w:r>
            <w:r w:rsidR="00124E7E">
              <w:rPr>
                <w:rFonts w:ascii="Calibri" w:eastAsia="Times New Roman" w:hAnsi="Calibri" w:cs="Calibri"/>
                <w:color w:val="000000"/>
                <w:sz w:val="20"/>
                <w:szCs w:val="20"/>
              </w:rPr>
              <w:t>,</w:t>
            </w:r>
            <w:r>
              <w:rPr>
                <w:rFonts w:ascii="Calibri" w:eastAsia="Times New Roman" w:hAnsi="Calibri" w:cs="Calibri"/>
                <w:color w:val="000000"/>
                <w:sz w:val="20"/>
                <w:szCs w:val="20"/>
              </w:rPr>
              <w:t>079.6</w:t>
            </w:r>
          </w:p>
        </w:tc>
        <w:tc>
          <w:tcPr>
            <w:tcW w:w="1845" w:type="dxa"/>
            <w:tcBorders>
              <w:top w:val="nil"/>
              <w:left w:val="nil"/>
              <w:bottom w:val="single" w:sz="4" w:space="0" w:color="auto"/>
              <w:right w:val="nil"/>
            </w:tcBorders>
            <w:noWrap/>
            <w:hideMark/>
          </w:tcPr>
          <w:p w14:paraId="32085EB0" w14:textId="69B82C4E" w:rsidR="00EA2714" w:rsidRPr="008369B7" w:rsidRDefault="00EA2714" w:rsidP="00EA2714">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350</w:t>
            </w:r>
            <w:r w:rsidR="00124E7E">
              <w:rPr>
                <w:rFonts w:ascii="Calibri" w:eastAsia="Times New Roman" w:hAnsi="Calibri" w:cs="Calibri"/>
                <w:color w:val="000000"/>
                <w:sz w:val="20"/>
                <w:szCs w:val="20"/>
              </w:rPr>
              <w:t>,</w:t>
            </w:r>
            <w:r>
              <w:rPr>
                <w:rFonts w:ascii="Calibri" w:eastAsia="Times New Roman" w:hAnsi="Calibri" w:cs="Calibri"/>
                <w:color w:val="000000"/>
                <w:sz w:val="20"/>
                <w:szCs w:val="20"/>
              </w:rPr>
              <w:t>511.8</w:t>
            </w:r>
          </w:p>
        </w:tc>
      </w:tr>
      <w:tr w:rsidR="00EA2714" w:rsidRPr="008369B7" w14:paraId="0D921A3F" w14:textId="77777777" w:rsidTr="006B2AE2">
        <w:trPr>
          <w:trHeight w:val="153"/>
        </w:trPr>
        <w:tc>
          <w:tcPr>
            <w:tcW w:w="1925" w:type="dxa"/>
            <w:tcBorders>
              <w:top w:val="nil"/>
              <w:left w:val="nil"/>
              <w:bottom w:val="nil"/>
              <w:right w:val="nil"/>
            </w:tcBorders>
            <w:noWrap/>
            <w:vAlign w:val="bottom"/>
            <w:hideMark/>
          </w:tcPr>
          <w:p w14:paraId="636220C1" w14:textId="77777777" w:rsidR="00EA2714" w:rsidRPr="008369B7" w:rsidRDefault="00EA2714" w:rsidP="00EA2714">
            <w:pPr>
              <w:spacing w:after="0" w:line="240" w:lineRule="auto"/>
              <w:jc w:val="right"/>
              <w:rPr>
                <w:rFonts w:ascii="Calibri" w:eastAsia="Times New Roman" w:hAnsi="Calibri" w:cs="Calibri"/>
                <w:color w:val="000000"/>
                <w:sz w:val="20"/>
                <w:szCs w:val="20"/>
              </w:rPr>
            </w:pPr>
          </w:p>
        </w:tc>
        <w:tc>
          <w:tcPr>
            <w:tcW w:w="1845" w:type="dxa"/>
            <w:tcBorders>
              <w:top w:val="nil"/>
              <w:left w:val="nil"/>
              <w:bottom w:val="nil"/>
              <w:right w:val="nil"/>
            </w:tcBorders>
            <w:noWrap/>
            <w:vAlign w:val="bottom"/>
            <w:hideMark/>
          </w:tcPr>
          <w:p w14:paraId="468F85DF" w14:textId="77777777" w:rsidR="00EA2714" w:rsidRPr="008369B7" w:rsidRDefault="00EA2714" w:rsidP="00EA2714">
            <w:pPr>
              <w:spacing w:after="0" w:line="240" w:lineRule="auto"/>
              <w:jc w:val="center"/>
              <w:rPr>
                <w:rFonts w:ascii="Times New Roman" w:eastAsia="Times New Roman" w:hAnsi="Times New Roman" w:cs="Times New Roman"/>
                <w:sz w:val="20"/>
                <w:szCs w:val="20"/>
              </w:rPr>
            </w:pPr>
          </w:p>
        </w:tc>
        <w:tc>
          <w:tcPr>
            <w:tcW w:w="1845" w:type="dxa"/>
            <w:tcBorders>
              <w:top w:val="nil"/>
              <w:left w:val="nil"/>
              <w:bottom w:val="nil"/>
              <w:right w:val="nil"/>
            </w:tcBorders>
            <w:noWrap/>
            <w:vAlign w:val="bottom"/>
            <w:hideMark/>
          </w:tcPr>
          <w:p w14:paraId="0B0F9C39" w14:textId="77777777" w:rsidR="00EA2714" w:rsidRPr="008369B7" w:rsidRDefault="00EA2714" w:rsidP="00EA2714">
            <w:pPr>
              <w:spacing w:after="0" w:line="240" w:lineRule="auto"/>
              <w:jc w:val="center"/>
              <w:rPr>
                <w:rFonts w:ascii="Times New Roman" w:eastAsia="Times New Roman" w:hAnsi="Times New Roman" w:cs="Times New Roman"/>
                <w:sz w:val="20"/>
                <w:szCs w:val="20"/>
              </w:rPr>
            </w:pPr>
          </w:p>
        </w:tc>
        <w:tc>
          <w:tcPr>
            <w:tcW w:w="1845" w:type="dxa"/>
            <w:tcBorders>
              <w:top w:val="nil"/>
              <w:left w:val="nil"/>
              <w:bottom w:val="nil"/>
              <w:right w:val="nil"/>
            </w:tcBorders>
            <w:noWrap/>
            <w:vAlign w:val="bottom"/>
            <w:hideMark/>
          </w:tcPr>
          <w:p w14:paraId="70E8F2DF" w14:textId="77777777" w:rsidR="00EA2714" w:rsidRPr="008369B7" w:rsidRDefault="00EA2714" w:rsidP="00EA2714">
            <w:pPr>
              <w:spacing w:after="0" w:line="240" w:lineRule="auto"/>
              <w:jc w:val="center"/>
              <w:rPr>
                <w:rFonts w:ascii="Times New Roman" w:eastAsia="Times New Roman" w:hAnsi="Times New Roman" w:cs="Times New Roman"/>
                <w:sz w:val="20"/>
                <w:szCs w:val="20"/>
              </w:rPr>
            </w:pPr>
          </w:p>
        </w:tc>
        <w:tc>
          <w:tcPr>
            <w:tcW w:w="1845" w:type="dxa"/>
            <w:tcBorders>
              <w:top w:val="nil"/>
              <w:left w:val="nil"/>
              <w:bottom w:val="nil"/>
              <w:right w:val="nil"/>
            </w:tcBorders>
            <w:noWrap/>
            <w:vAlign w:val="bottom"/>
            <w:hideMark/>
          </w:tcPr>
          <w:p w14:paraId="33BA4FBF" w14:textId="77777777" w:rsidR="00EA2714" w:rsidRPr="008369B7" w:rsidRDefault="00EA2714" w:rsidP="00EA2714">
            <w:pPr>
              <w:spacing w:after="0" w:line="240" w:lineRule="auto"/>
              <w:jc w:val="center"/>
              <w:rPr>
                <w:rFonts w:ascii="Times New Roman" w:eastAsia="Times New Roman" w:hAnsi="Times New Roman" w:cs="Times New Roman"/>
                <w:sz w:val="20"/>
                <w:szCs w:val="20"/>
              </w:rPr>
            </w:pPr>
          </w:p>
        </w:tc>
      </w:tr>
      <w:tr w:rsidR="00EA2714" w:rsidRPr="008369B7" w14:paraId="11B654D8" w14:textId="77777777" w:rsidTr="006B2AE2">
        <w:trPr>
          <w:trHeight w:val="261"/>
        </w:trPr>
        <w:tc>
          <w:tcPr>
            <w:tcW w:w="1925" w:type="dxa"/>
            <w:tcBorders>
              <w:top w:val="nil"/>
              <w:left w:val="nil"/>
              <w:bottom w:val="single" w:sz="4" w:space="0" w:color="auto"/>
              <w:right w:val="nil"/>
            </w:tcBorders>
            <w:shd w:val="clear" w:color="000000" w:fill="D6DCE4"/>
            <w:noWrap/>
            <w:vAlign w:val="bottom"/>
            <w:hideMark/>
          </w:tcPr>
          <w:p w14:paraId="39059DC8" w14:textId="77777777" w:rsidR="00EA2714" w:rsidRPr="008369B7" w:rsidRDefault="00EA2714" w:rsidP="00EA2714">
            <w:pPr>
              <w:spacing w:after="0" w:line="240" w:lineRule="auto"/>
              <w:rPr>
                <w:rFonts w:ascii="Calibri" w:eastAsia="Times New Roman" w:hAnsi="Calibri" w:cs="Calibri"/>
                <w:color w:val="000000"/>
                <w:sz w:val="20"/>
                <w:szCs w:val="20"/>
              </w:rPr>
            </w:pPr>
            <w:r w:rsidRPr="008369B7">
              <w:rPr>
                <w:rFonts w:ascii="Calibri" w:eastAsia="Times New Roman" w:hAnsi="Calibri" w:cs="Calibri"/>
                <w:color w:val="000000"/>
                <w:sz w:val="20"/>
                <w:szCs w:val="20"/>
              </w:rPr>
              <w:t>Gender income gap</w:t>
            </w:r>
          </w:p>
        </w:tc>
        <w:tc>
          <w:tcPr>
            <w:tcW w:w="1845" w:type="dxa"/>
            <w:tcBorders>
              <w:top w:val="nil"/>
              <w:left w:val="nil"/>
              <w:bottom w:val="single" w:sz="4" w:space="0" w:color="auto"/>
              <w:right w:val="nil"/>
            </w:tcBorders>
            <w:shd w:val="clear" w:color="000000" w:fill="D6DCE4"/>
            <w:noWrap/>
            <w:vAlign w:val="bottom"/>
            <w:hideMark/>
          </w:tcPr>
          <w:p w14:paraId="2782D2A8" w14:textId="345264A4" w:rsidR="00EA2714" w:rsidRPr="008369B7" w:rsidRDefault="00EA2714" w:rsidP="00EA2714">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-28.8%</w:t>
            </w:r>
          </w:p>
        </w:tc>
        <w:tc>
          <w:tcPr>
            <w:tcW w:w="1845" w:type="dxa"/>
            <w:tcBorders>
              <w:top w:val="nil"/>
              <w:left w:val="nil"/>
              <w:bottom w:val="single" w:sz="4" w:space="0" w:color="auto"/>
              <w:right w:val="nil"/>
            </w:tcBorders>
            <w:shd w:val="clear" w:color="000000" w:fill="D6DCE4"/>
            <w:noWrap/>
            <w:vAlign w:val="bottom"/>
            <w:hideMark/>
          </w:tcPr>
          <w:p w14:paraId="60D83811" w14:textId="0685644B" w:rsidR="00EA2714" w:rsidRPr="008369B7" w:rsidRDefault="00EA2714" w:rsidP="00EA2714">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-27.9%</w:t>
            </w:r>
          </w:p>
        </w:tc>
        <w:tc>
          <w:tcPr>
            <w:tcW w:w="1845" w:type="dxa"/>
            <w:tcBorders>
              <w:top w:val="nil"/>
              <w:left w:val="nil"/>
              <w:bottom w:val="single" w:sz="4" w:space="0" w:color="auto"/>
              <w:right w:val="nil"/>
            </w:tcBorders>
            <w:shd w:val="clear" w:color="000000" w:fill="D6DCE4"/>
            <w:noWrap/>
            <w:vAlign w:val="bottom"/>
            <w:hideMark/>
          </w:tcPr>
          <w:p w14:paraId="61EBD77D" w14:textId="36F03489" w:rsidR="00EA2714" w:rsidRPr="008369B7" w:rsidRDefault="00EA2714" w:rsidP="00EA2714">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-28.2%</w:t>
            </w:r>
          </w:p>
        </w:tc>
        <w:tc>
          <w:tcPr>
            <w:tcW w:w="1845" w:type="dxa"/>
            <w:tcBorders>
              <w:top w:val="nil"/>
              <w:left w:val="nil"/>
              <w:bottom w:val="single" w:sz="4" w:space="0" w:color="auto"/>
              <w:right w:val="nil"/>
            </w:tcBorders>
            <w:shd w:val="clear" w:color="000000" w:fill="D6DCE4"/>
            <w:noWrap/>
            <w:vAlign w:val="bottom"/>
            <w:hideMark/>
          </w:tcPr>
          <w:p w14:paraId="2FB6C528" w14:textId="358B2641" w:rsidR="00EA2714" w:rsidRPr="008369B7" w:rsidRDefault="00EA2714" w:rsidP="00EA2714">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-27.2%</w:t>
            </w:r>
          </w:p>
        </w:tc>
      </w:tr>
    </w:tbl>
    <w:p w14:paraId="66B5C057" w14:textId="2DD15FA1" w:rsidR="001D7624" w:rsidRPr="00500897" w:rsidRDefault="001D7624" w:rsidP="001D7624">
      <w:pPr>
        <w:spacing w:before="120" w:line="257" w:lineRule="auto"/>
      </w:pPr>
      <w:r w:rsidRPr="00500897">
        <w:rPr>
          <w:i/>
          <w:iCs/>
          <w:sz w:val="18"/>
          <w:szCs w:val="18"/>
        </w:rPr>
        <w:t xml:space="preserve">Notes: </w:t>
      </w:r>
      <w:r w:rsidRPr="00500897">
        <w:rPr>
          <w:sz w:val="18"/>
          <w:szCs w:val="18"/>
        </w:rPr>
        <w:t xml:space="preserve">Income data are reported in annual pesos. Gender income gaps are </w:t>
      </w:r>
      <w:r w:rsidR="004D4AF7" w:rsidRPr="00500897">
        <w:rPr>
          <w:sz w:val="18"/>
          <w:szCs w:val="18"/>
        </w:rPr>
        <w:t>measured</w:t>
      </w:r>
      <w:r w:rsidRPr="00500897">
        <w:rPr>
          <w:sz w:val="18"/>
          <w:szCs w:val="18"/>
        </w:rPr>
        <w:t xml:space="preserve"> as a share of average income for males. Pre-fiscal income refers to market income plus pensions. </w:t>
      </w:r>
      <w:r w:rsidR="005E42A1" w:rsidRPr="00500897">
        <w:rPr>
          <w:sz w:val="18"/>
          <w:szCs w:val="18"/>
        </w:rPr>
        <w:t>To allocate</w:t>
      </w:r>
      <w:r w:rsidR="008452CC" w:rsidRPr="00500897">
        <w:rPr>
          <w:sz w:val="18"/>
          <w:szCs w:val="18"/>
        </w:rPr>
        <w:t xml:space="preserve"> household-level</w:t>
      </w:r>
      <w:r w:rsidR="005E42A1" w:rsidRPr="00500897">
        <w:rPr>
          <w:sz w:val="18"/>
          <w:szCs w:val="18"/>
        </w:rPr>
        <w:t xml:space="preserve"> income between men and women, we assume </w:t>
      </w:r>
      <w:r w:rsidR="00442E3E" w:rsidRPr="00500897">
        <w:rPr>
          <w:sz w:val="18"/>
          <w:szCs w:val="18"/>
        </w:rPr>
        <w:t>full income sharing</w:t>
      </w:r>
      <w:r w:rsidR="008452CC" w:rsidRPr="00500897">
        <w:rPr>
          <w:sz w:val="18"/>
          <w:szCs w:val="18"/>
        </w:rPr>
        <w:t xml:space="preserve"> across members</w:t>
      </w:r>
      <w:r w:rsidR="001F09A6">
        <w:rPr>
          <w:sz w:val="18"/>
          <w:szCs w:val="18"/>
        </w:rPr>
        <w:t xml:space="preserve"> of a couple</w:t>
      </w:r>
      <w:r w:rsidR="009528C4" w:rsidRPr="00500897">
        <w:rPr>
          <w:sz w:val="18"/>
          <w:szCs w:val="18"/>
        </w:rPr>
        <w:t xml:space="preserve"> (this does not include labor income no</w:t>
      </w:r>
      <w:r w:rsidR="00500897">
        <w:rPr>
          <w:sz w:val="18"/>
          <w:szCs w:val="18"/>
        </w:rPr>
        <w:t>r</w:t>
      </w:r>
      <w:r w:rsidR="009528C4" w:rsidRPr="00500897">
        <w:rPr>
          <w:sz w:val="18"/>
          <w:szCs w:val="18"/>
        </w:rPr>
        <w:t xml:space="preserve"> other </w:t>
      </w:r>
      <w:r w:rsidR="00500897">
        <w:rPr>
          <w:sz w:val="18"/>
          <w:szCs w:val="18"/>
        </w:rPr>
        <w:t>income sources reported at the individual level</w:t>
      </w:r>
      <w:r w:rsidR="00E60DC9">
        <w:rPr>
          <w:sz w:val="18"/>
          <w:szCs w:val="18"/>
        </w:rPr>
        <w:t xml:space="preserve"> in the ECH)</w:t>
      </w:r>
      <w:r w:rsidR="00442E3E" w:rsidRPr="00500897">
        <w:rPr>
          <w:sz w:val="18"/>
          <w:szCs w:val="18"/>
        </w:rPr>
        <w:t>.</w:t>
      </w:r>
      <w:r w:rsidR="009528C4" w:rsidRPr="00500897">
        <w:rPr>
          <w:sz w:val="18"/>
          <w:szCs w:val="18"/>
        </w:rPr>
        <w:t xml:space="preserve"> </w:t>
      </w:r>
      <w:r w:rsidR="00792714">
        <w:rPr>
          <w:sz w:val="18"/>
          <w:szCs w:val="18"/>
        </w:rPr>
        <w:t xml:space="preserve">The sample has been restricted to </w:t>
      </w:r>
      <w:r w:rsidR="008E14F3">
        <w:rPr>
          <w:sz w:val="18"/>
          <w:szCs w:val="18"/>
        </w:rPr>
        <w:t>individuals between 22 and 64 years of age.</w:t>
      </w:r>
    </w:p>
    <w:p w14:paraId="5CF4BE82" w14:textId="70C94B79" w:rsidR="004166AB" w:rsidRDefault="004166AB" w:rsidP="00DA177A">
      <w:pPr>
        <w:pStyle w:val="Heading3"/>
        <w:numPr>
          <w:ilvl w:val="1"/>
          <w:numId w:val="5"/>
        </w:numPr>
      </w:pPr>
      <w:bookmarkStart w:id="18" w:name="_Toc136425147"/>
      <w:r>
        <w:t>Methodology and assumptions</w:t>
      </w:r>
      <w:bookmarkEnd w:id="18"/>
    </w:p>
    <w:p w14:paraId="793B3E13" w14:textId="77777777" w:rsidR="00DA177A" w:rsidRPr="00DA177A" w:rsidRDefault="00DA177A" w:rsidP="00DA177A">
      <w:pPr>
        <w:pStyle w:val="ListParagraph"/>
        <w:ind w:left="765"/>
        <w:rPr>
          <w:highlight w:val="yellow"/>
        </w:rPr>
      </w:pPr>
    </w:p>
    <w:p w14:paraId="20E61826" w14:textId="42DA2A9C" w:rsidR="00202B07" w:rsidRDefault="00FD649A" w:rsidP="00202B07">
      <w:pPr>
        <w:spacing w:before="120" w:after="120" w:line="256" w:lineRule="auto"/>
      </w:pPr>
      <w:r>
        <w:rPr>
          <w:b/>
          <w:bCs/>
        </w:rPr>
        <w:t xml:space="preserve">To simulate </w:t>
      </w:r>
      <w:r w:rsidR="00032550">
        <w:rPr>
          <w:b/>
          <w:bCs/>
        </w:rPr>
        <w:t xml:space="preserve">an </w:t>
      </w:r>
      <w:r>
        <w:rPr>
          <w:b/>
          <w:bCs/>
        </w:rPr>
        <w:t xml:space="preserve">increase in female labor force participation, we </w:t>
      </w:r>
      <w:r w:rsidR="00B1045D">
        <w:rPr>
          <w:b/>
          <w:bCs/>
        </w:rPr>
        <w:t xml:space="preserve">first </w:t>
      </w:r>
      <w:r w:rsidR="00B547AC">
        <w:rPr>
          <w:b/>
          <w:bCs/>
        </w:rPr>
        <w:t xml:space="preserve">rank </w:t>
      </w:r>
      <w:r w:rsidR="006F0721">
        <w:rPr>
          <w:b/>
          <w:bCs/>
        </w:rPr>
        <w:t xml:space="preserve">women </w:t>
      </w:r>
      <w:r w:rsidR="00B547AC">
        <w:rPr>
          <w:b/>
          <w:bCs/>
        </w:rPr>
        <w:t>based on their</w:t>
      </w:r>
      <w:r w:rsidR="00077097">
        <w:rPr>
          <w:b/>
          <w:bCs/>
        </w:rPr>
        <w:t xml:space="preserve"> likel</w:t>
      </w:r>
      <w:r w:rsidR="00B547AC">
        <w:rPr>
          <w:b/>
          <w:bCs/>
        </w:rPr>
        <w:t>ihood</w:t>
      </w:r>
      <w:r w:rsidR="00077097">
        <w:rPr>
          <w:b/>
          <w:bCs/>
        </w:rPr>
        <w:t xml:space="preserve"> </w:t>
      </w:r>
      <w:r w:rsidR="00B547AC">
        <w:rPr>
          <w:b/>
          <w:bCs/>
        </w:rPr>
        <w:t>of</w:t>
      </w:r>
      <w:r w:rsidR="00077097">
        <w:rPr>
          <w:b/>
          <w:bCs/>
        </w:rPr>
        <w:t xml:space="preserve"> enter</w:t>
      </w:r>
      <w:r w:rsidR="00B547AC">
        <w:rPr>
          <w:b/>
          <w:bCs/>
        </w:rPr>
        <w:t>ing</w:t>
      </w:r>
      <w:r w:rsidR="00077097">
        <w:rPr>
          <w:b/>
          <w:bCs/>
        </w:rPr>
        <w:t xml:space="preserve"> the labor market</w:t>
      </w:r>
      <w:r w:rsidR="00792A8E">
        <w:rPr>
          <w:b/>
          <w:bCs/>
        </w:rPr>
        <w:t>.</w:t>
      </w:r>
      <w:r w:rsidR="00FB482F">
        <w:rPr>
          <w:b/>
          <w:bCs/>
        </w:rPr>
        <w:t xml:space="preserve"> </w:t>
      </w:r>
      <w:r w:rsidR="00EB27F8" w:rsidRPr="00D214AE">
        <w:t xml:space="preserve">In this section, we </w:t>
      </w:r>
      <w:r w:rsidR="00F12DB1" w:rsidRPr="00D214AE">
        <w:t>model</w:t>
      </w:r>
      <w:r w:rsidR="00F12DB1" w:rsidRPr="006654F6">
        <w:t xml:space="preserve"> a</w:t>
      </w:r>
      <w:r w:rsidR="00ED109E">
        <w:t>n exogeneous</w:t>
      </w:r>
      <w:r w:rsidR="00F12DB1" w:rsidRPr="006654F6">
        <w:t xml:space="preserve"> 3 percent increase in female labor force participation (</w:t>
      </w:r>
      <w:r w:rsidR="00323201" w:rsidRPr="006654F6">
        <w:t>that is,</w:t>
      </w:r>
      <w:r w:rsidR="0064298B">
        <w:t xml:space="preserve"> about</w:t>
      </w:r>
      <w:r w:rsidR="00323201" w:rsidRPr="006654F6">
        <w:t xml:space="preserve"> 25,000</w:t>
      </w:r>
      <w:r w:rsidR="00F12DB1" w:rsidRPr="006654F6">
        <w:t xml:space="preserve"> </w:t>
      </w:r>
      <w:r w:rsidR="00754119" w:rsidRPr="006654F6">
        <w:t>women)</w:t>
      </w:r>
      <w:r w:rsidR="000602ED" w:rsidRPr="006654F6">
        <w:t>.</w:t>
      </w:r>
      <w:r w:rsidR="004D19D4">
        <w:rPr>
          <w:rStyle w:val="FootnoteReference"/>
        </w:rPr>
        <w:footnoteReference w:id="21"/>
      </w:r>
      <w:r w:rsidR="000602ED">
        <w:t xml:space="preserve"> </w:t>
      </w:r>
      <w:r w:rsidR="00125371">
        <w:t>For simp</w:t>
      </w:r>
      <w:r w:rsidR="00125371" w:rsidRPr="00EA2637">
        <w:t xml:space="preserve">licity, we assume that the labor market clears and </w:t>
      </w:r>
      <w:r w:rsidR="00EA2637" w:rsidRPr="00EA2637">
        <w:t>thus</w:t>
      </w:r>
      <w:r w:rsidR="00125371" w:rsidRPr="00EA2637">
        <w:t xml:space="preserve"> </w:t>
      </w:r>
      <w:r w:rsidR="00EA2637" w:rsidRPr="00EA2637">
        <w:t xml:space="preserve">all new </w:t>
      </w:r>
      <w:r w:rsidR="00D61AAE">
        <w:t>entrants</w:t>
      </w:r>
      <w:r w:rsidR="00545EEC" w:rsidRPr="00EA2637">
        <w:t xml:space="preserve"> find a job. </w:t>
      </w:r>
      <w:r w:rsidR="00EA2637">
        <w:t xml:space="preserve">To </w:t>
      </w:r>
      <w:r w:rsidR="00AE30CA">
        <w:t>select</w:t>
      </w:r>
      <w:r w:rsidR="00EA2637">
        <w:t xml:space="preserve"> </w:t>
      </w:r>
      <w:r w:rsidR="009A72EA">
        <w:t>women entering the labor force</w:t>
      </w:r>
      <w:r w:rsidR="000602ED">
        <w:t xml:space="preserve">, we estimate </w:t>
      </w:r>
      <w:r w:rsidR="007B747A">
        <w:t xml:space="preserve">the </w:t>
      </w:r>
      <w:r w:rsidR="009E447E">
        <w:t xml:space="preserve">probability </w:t>
      </w:r>
      <w:r w:rsidR="00E31A43">
        <w:t>of</w:t>
      </w:r>
      <w:r w:rsidR="006654F6">
        <w:t xml:space="preserve"> becoming</w:t>
      </w:r>
      <w:r w:rsidR="00E31A43">
        <w:t xml:space="preserve"> </w:t>
      </w:r>
      <w:r w:rsidR="006654F6">
        <w:t>employed</w:t>
      </w:r>
      <w:r w:rsidR="00E31A43">
        <w:t xml:space="preserve"> </w:t>
      </w:r>
      <w:r w:rsidR="007B747A">
        <w:t xml:space="preserve">for each working-age woman </w:t>
      </w:r>
      <w:r w:rsidR="000602ED">
        <w:t xml:space="preserve">using a </w:t>
      </w:r>
      <w:r w:rsidR="002219F5" w:rsidRPr="00CB1628">
        <w:t>probit</w:t>
      </w:r>
      <w:r w:rsidR="00221546">
        <w:t xml:space="preserve"> regression</w:t>
      </w:r>
      <w:r w:rsidR="002219F5">
        <w:t xml:space="preserve"> model</w:t>
      </w:r>
      <w:r w:rsidR="00221546">
        <w:t>.</w:t>
      </w:r>
      <w:r w:rsidR="003C60E9">
        <w:t xml:space="preserve"> </w:t>
      </w:r>
      <w:r w:rsidR="00202B07">
        <w:t>The dependent variable is a binary indicator that equals one if the individual is employed and zero otherwise. The set of explanatory variables includes both individual and household characteristics</w:t>
      </w:r>
      <w:r w:rsidR="00F54CB8">
        <w:t xml:space="preserve"> such as</w:t>
      </w:r>
      <w:r w:rsidR="00202B07">
        <w:t xml:space="preserve">: age, highest level of education attained, dummy for born abroad, indicator for household head, demographic household typologies, geographic area, access to internet at home, and a dummy for the presence of children under 4 in the household. After estimating the probit model, we rank economically inactive women based on their predicted probabilities and select those with the highest likelihood of becoming employed until reaching the desired number. We restrict the sample of eligible women to those between 25 and 60 years of age who do not </w:t>
      </w:r>
      <w:r w:rsidR="00F54CB8">
        <w:t xml:space="preserve">report </w:t>
      </w:r>
      <w:r w:rsidR="00202B07">
        <w:t xml:space="preserve">labor income because they declare being dedicated to housework or “other”; nor </w:t>
      </w:r>
      <w:r w:rsidR="005A1144">
        <w:t>those who</w:t>
      </w:r>
      <w:r w:rsidR="00F54CB8">
        <w:t xml:space="preserve"> </w:t>
      </w:r>
      <w:r w:rsidR="00202B07">
        <w:t>receive allowances for disability, accident, or maternity.</w:t>
      </w:r>
    </w:p>
    <w:p w14:paraId="458C089E" w14:textId="77777777" w:rsidR="00127AAB" w:rsidRDefault="00127AAB" w:rsidP="00127AAB">
      <w:pPr>
        <w:spacing w:before="120" w:after="120" w:line="256" w:lineRule="auto"/>
      </w:pPr>
      <w:r>
        <w:rPr>
          <w:b/>
          <w:bCs/>
        </w:rPr>
        <w:t>Women’s employment status depends on their sociodemographic and household characteristics.</w:t>
      </w:r>
      <w:r>
        <w:t xml:space="preserve"> Results from the probit regression model indicate that a woman’s probability of being employed is positively correlated with her level of education, particularly with tertiary education (Annex A, Table A2). Household composition is also relevant, with women who are household heads having a higher probability of working. Women living with their partner are less likely to work, even if they do not have children. Still, the presence of children under 4 significantly reduces their likelihood of working. Immigrant women are less likely to work. Women’s propensity to work is associated with several household characteristics, including geographic location and internet connectivity. </w:t>
      </w:r>
    </w:p>
    <w:p w14:paraId="5142D063" w14:textId="6F84F058" w:rsidR="00EC78D2" w:rsidRPr="00C924B9" w:rsidRDefault="004346B6" w:rsidP="005E6B81">
      <w:pPr>
        <w:spacing w:before="120" w:after="120" w:line="257" w:lineRule="auto"/>
      </w:pPr>
      <w:r>
        <w:rPr>
          <w:b/>
          <w:bCs/>
        </w:rPr>
        <w:t>We then</w:t>
      </w:r>
      <w:r w:rsidR="004B15F5">
        <w:rPr>
          <w:b/>
          <w:bCs/>
        </w:rPr>
        <w:t xml:space="preserve"> impute </w:t>
      </w:r>
      <w:r w:rsidR="001A3E27">
        <w:rPr>
          <w:b/>
          <w:bCs/>
        </w:rPr>
        <w:t>labor income for each woman entering the labor market</w:t>
      </w:r>
      <w:r w:rsidR="00566018" w:rsidRPr="00FD34C7">
        <w:rPr>
          <w:b/>
          <w:bCs/>
        </w:rPr>
        <w:t>.</w:t>
      </w:r>
      <w:r w:rsidR="00566018">
        <w:t xml:space="preserve"> </w:t>
      </w:r>
      <w:r w:rsidR="008505EA">
        <w:t xml:space="preserve">Once we have </w:t>
      </w:r>
      <w:r w:rsidR="00586937">
        <w:t xml:space="preserve">selected </w:t>
      </w:r>
      <w:r w:rsidR="008505EA">
        <w:t xml:space="preserve">the group of women </w:t>
      </w:r>
      <w:r w:rsidR="00D022FF">
        <w:t>most likely to become employed</w:t>
      </w:r>
      <w:r w:rsidR="008505EA">
        <w:t xml:space="preserve">, we </w:t>
      </w:r>
      <w:r w:rsidR="00C5152F">
        <w:t>assign them</w:t>
      </w:r>
      <w:r w:rsidR="00A16787">
        <w:t xml:space="preserve"> a labor income. </w:t>
      </w:r>
      <w:r w:rsidR="00BD225B">
        <w:t>To do so, w</w:t>
      </w:r>
      <w:r w:rsidR="004B2A11">
        <w:t>e use a</w:t>
      </w:r>
      <w:r w:rsidR="00E60E81">
        <w:t xml:space="preserve"> Predictive Mean Matching</w:t>
      </w:r>
      <w:r w:rsidR="004B2A11">
        <w:t xml:space="preserve"> (PMM)</w:t>
      </w:r>
      <w:r w:rsidR="00E60E81">
        <w:t xml:space="preserve"> </w:t>
      </w:r>
      <w:r w:rsidR="001E5E24">
        <w:t>approach</w:t>
      </w:r>
      <w:r w:rsidR="005434A7">
        <w:t xml:space="preserve">, which consists </w:t>
      </w:r>
      <w:r w:rsidR="00B449F4">
        <w:t>of</w:t>
      </w:r>
      <w:r w:rsidR="005434A7">
        <w:t xml:space="preserve"> imputing</w:t>
      </w:r>
      <w:r w:rsidR="008067E0">
        <w:t xml:space="preserve"> values </w:t>
      </w:r>
      <w:r w:rsidR="0015562B">
        <w:t xml:space="preserve">based on the observed </w:t>
      </w:r>
      <w:r w:rsidR="0015562B">
        <w:lastRenderedPageBreak/>
        <w:t xml:space="preserve">values for </w:t>
      </w:r>
      <w:r w:rsidR="00313BEB">
        <w:t>women</w:t>
      </w:r>
      <w:r w:rsidR="0015562B">
        <w:t xml:space="preserve"> </w:t>
      </w:r>
      <w:r w:rsidR="00E06B26">
        <w:t>with similar characteristics</w:t>
      </w:r>
      <w:r w:rsidR="00313BEB">
        <w:t xml:space="preserve"> </w:t>
      </w:r>
      <w:r w:rsidR="00002347">
        <w:t>who</w:t>
      </w:r>
      <w:r w:rsidR="00313BEB">
        <w:t xml:space="preserve"> </w:t>
      </w:r>
      <w:r w:rsidR="00A727CE">
        <w:t>a</w:t>
      </w:r>
      <w:r w:rsidR="002E6D64">
        <w:t>re</w:t>
      </w:r>
      <w:r w:rsidR="00F24CFF">
        <w:t xml:space="preserve"> already participating in the labor market</w:t>
      </w:r>
      <w:r w:rsidR="00E06B26">
        <w:t>.</w:t>
      </w:r>
      <w:r w:rsidR="004602B2">
        <w:rPr>
          <w:rStyle w:val="FootnoteReference"/>
        </w:rPr>
        <w:footnoteReference w:id="22"/>
      </w:r>
      <w:r w:rsidR="00E06B26">
        <w:t xml:space="preserve"> </w:t>
      </w:r>
      <w:r w:rsidR="00E25224">
        <w:t>The PMM method combines the standard linear regression and the nearest-neighbor approaches</w:t>
      </w:r>
      <w:r w:rsidR="00330305">
        <w:t>.</w:t>
      </w:r>
      <w:r w:rsidR="00330305">
        <w:rPr>
          <w:rStyle w:val="FootnoteReference"/>
        </w:rPr>
        <w:footnoteReference w:id="23"/>
      </w:r>
      <w:r w:rsidR="00E25224">
        <w:t xml:space="preserve"> </w:t>
      </w:r>
      <w:r w:rsidR="00A7240B">
        <w:t xml:space="preserve">It </w:t>
      </w:r>
      <w:r w:rsidR="00054DED">
        <w:t>applies</w:t>
      </w:r>
      <w:r w:rsidR="00A7240B">
        <w:t xml:space="preserve"> a linear regression to obtain </w:t>
      </w:r>
      <w:r w:rsidR="00713032">
        <w:t xml:space="preserve">earnings </w:t>
      </w:r>
      <w:r w:rsidR="00A7240B">
        <w:t xml:space="preserve">predictions and uses them </w:t>
      </w:r>
      <w:r w:rsidR="00BE1339">
        <w:t xml:space="preserve">as a </w:t>
      </w:r>
      <w:r w:rsidR="00BE1339" w:rsidRPr="00425A00">
        <w:t xml:space="preserve">distance measure to form the set of </w:t>
      </w:r>
      <w:r w:rsidR="00583C62" w:rsidRPr="00425A00">
        <w:t>nearest neighbors</w:t>
      </w:r>
      <w:r w:rsidR="0009444A" w:rsidRPr="00425A00">
        <w:t>. Then, it randomly draws an imputed value from this set</w:t>
      </w:r>
      <w:r w:rsidR="004602B2" w:rsidRPr="00425A00">
        <w:t>.</w:t>
      </w:r>
      <w:r w:rsidR="004D2DFA" w:rsidRPr="00425A00">
        <w:t xml:space="preserve"> </w:t>
      </w:r>
      <w:r w:rsidR="00AB58C6" w:rsidRPr="00425A00">
        <w:t>To identify nearest neighbors,</w:t>
      </w:r>
      <w:r w:rsidR="00AB58C6">
        <w:t xml:space="preserve"> </w:t>
      </w:r>
      <w:r w:rsidR="00581498">
        <w:t>women</w:t>
      </w:r>
      <w:r w:rsidR="004D2DFA">
        <w:t xml:space="preserve"> </w:t>
      </w:r>
      <w:r w:rsidR="005C49C6">
        <w:t xml:space="preserve">are </w:t>
      </w:r>
      <w:r w:rsidR="004D2DFA">
        <w:t xml:space="preserve">matched with respect to age, </w:t>
      </w:r>
      <w:r w:rsidR="00B05814">
        <w:t xml:space="preserve">years of </w:t>
      </w:r>
      <w:r w:rsidR="004D2DFA">
        <w:t xml:space="preserve">education, </w:t>
      </w:r>
      <w:r w:rsidR="00BC4A49">
        <w:t>household head</w:t>
      </w:r>
      <w:r w:rsidR="00631A6E">
        <w:t xml:space="preserve"> indicator</w:t>
      </w:r>
      <w:r w:rsidR="00BC4A49">
        <w:t xml:space="preserve">, </w:t>
      </w:r>
      <w:r w:rsidR="00A323C4">
        <w:t>household composition in terms of age and gender</w:t>
      </w:r>
      <w:r w:rsidR="00641918">
        <w:t>,</w:t>
      </w:r>
      <w:r w:rsidR="0086705C">
        <w:t xml:space="preserve"> total household size,</w:t>
      </w:r>
      <w:r w:rsidR="00A457B1">
        <w:t xml:space="preserve"> </w:t>
      </w:r>
      <w:r w:rsidR="00492221">
        <w:t>educational climate in the household,</w:t>
      </w:r>
      <w:r w:rsidR="00172EBF">
        <w:t xml:space="preserve"> </w:t>
      </w:r>
      <w:r w:rsidR="00A457B1">
        <w:t>geographic area,</w:t>
      </w:r>
      <w:r w:rsidR="00641918">
        <w:t xml:space="preserve"> </w:t>
      </w:r>
      <w:r w:rsidR="004D4E25">
        <w:t xml:space="preserve">household vulnerability index, </w:t>
      </w:r>
      <w:r w:rsidR="00641918">
        <w:t xml:space="preserve">and </w:t>
      </w:r>
      <w:r w:rsidR="00FF10B8">
        <w:t xml:space="preserve">total number of hours </w:t>
      </w:r>
      <w:r w:rsidR="00C14D05">
        <w:t>worked for all household members</w:t>
      </w:r>
      <w:r w:rsidR="00641918">
        <w:t>.</w:t>
      </w:r>
      <w:r w:rsidR="00C924B9">
        <w:t xml:space="preserve"> We use the PMM </w:t>
      </w:r>
      <w:r w:rsidR="00BB464D">
        <w:t xml:space="preserve">approach </w:t>
      </w:r>
      <w:r w:rsidR="00F37880">
        <w:t xml:space="preserve">not only </w:t>
      </w:r>
      <w:r w:rsidR="00C924B9">
        <w:t xml:space="preserve">to impute labor income but also to assign </w:t>
      </w:r>
      <w:r w:rsidR="00161384">
        <w:t>donors</w:t>
      </w:r>
      <w:r w:rsidR="00636513">
        <w:t>’</w:t>
      </w:r>
      <w:r w:rsidR="00161384">
        <w:t xml:space="preserve"> </w:t>
      </w:r>
      <w:r w:rsidR="00C924B9">
        <w:t xml:space="preserve">labor market </w:t>
      </w:r>
      <w:r w:rsidR="001B3DA2">
        <w:t xml:space="preserve">characteristics, including </w:t>
      </w:r>
      <w:r w:rsidR="00BA3009">
        <w:t xml:space="preserve">sector of </w:t>
      </w:r>
      <w:r w:rsidR="00F90989">
        <w:t xml:space="preserve">economic </w:t>
      </w:r>
      <w:r w:rsidR="00BA3009">
        <w:t xml:space="preserve">activity, </w:t>
      </w:r>
      <w:r w:rsidR="00CF2F18">
        <w:t xml:space="preserve">occupation, and </w:t>
      </w:r>
      <w:r w:rsidR="00BA3009">
        <w:t>formality status</w:t>
      </w:r>
      <w:r w:rsidR="008D0611">
        <w:t xml:space="preserve"> to women</w:t>
      </w:r>
      <w:r w:rsidR="00E60B3A">
        <w:t xml:space="preserve"> selected to enter the labor market</w:t>
      </w:r>
      <w:r w:rsidR="00CF2F18">
        <w:t>.</w:t>
      </w:r>
      <w:r w:rsidR="00BA3009">
        <w:t xml:space="preserve"> </w:t>
      </w:r>
    </w:p>
    <w:p w14:paraId="62F0B002" w14:textId="4271CA0E" w:rsidR="00560DE7" w:rsidRPr="00C179C9" w:rsidRDefault="00DD7DB9" w:rsidP="005E6B81">
      <w:pPr>
        <w:spacing w:before="120" w:after="120" w:line="257" w:lineRule="auto"/>
      </w:pPr>
      <w:r w:rsidRPr="00172EBF">
        <w:rPr>
          <w:b/>
          <w:bCs/>
        </w:rPr>
        <w:t>Finally</w:t>
      </w:r>
      <w:r w:rsidR="00184E5F" w:rsidRPr="00172EBF">
        <w:rPr>
          <w:b/>
          <w:bCs/>
        </w:rPr>
        <w:t xml:space="preserve">, </w:t>
      </w:r>
      <w:r w:rsidR="00AE4CE0" w:rsidRPr="00172EBF">
        <w:rPr>
          <w:b/>
          <w:bCs/>
        </w:rPr>
        <w:t>we estimate taxes and contributions paid and</w:t>
      </w:r>
      <w:r w:rsidR="00B76F9A">
        <w:rPr>
          <w:b/>
          <w:bCs/>
        </w:rPr>
        <w:t xml:space="preserve"> government</w:t>
      </w:r>
      <w:r w:rsidR="00AE4CE0" w:rsidRPr="00172EBF">
        <w:rPr>
          <w:b/>
          <w:bCs/>
        </w:rPr>
        <w:t xml:space="preserve"> transfers received </w:t>
      </w:r>
      <w:r w:rsidR="00CD6F0F">
        <w:rPr>
          <w:b/>
          <w:bCs/>
        </w:rPr>
        <w:t xml:space="preserve">based on </w:t>
      </w:r>
      <w:r w:rsidR="001A4FE8" w:rsidRPr="00172EBF">
        <w:rPr>
          <w:b/>
          <w:bCs/>
        </w:rPr>
        <w:t xml:space="preserve">women’s new labor </w:t>
      </w:r>
      <w:r w:rsidR="001A4FE8" w:rsidRPr="00A15DB9">
        <w:rPr>
          <w:b/>
          <w:bCs/>
        </w:rPr>
        <w:t xml:space="preserve">status. </w:t>
      </w:r>
      <w:r w:rsidR="006E1539">
        <w:t xml:space="preserve">Women who become employed </w:t>
      </w:r>
      <w:r w:rsidR="003930A9">
        <w:t xml:space="preserve">in the formal sector </w:t>
      </w:r>
      <w:r w:rsidR="006E1539">
        <w:t xml:space="preserve">are now subject to </w:t>
      </w:r>
      <w:r w:rsidR="00C12E83">
        <w:t>labor income taxes, social security contributions</w:t>
      </w:r>
      <w:r w:rsidR="003930A9">
        <w:t>, and health contributions.</w:t>
      </w:r>
      <w:r w:rsidR="00EE540B">
        <w:t xml:space="preserve"> W</w:t>
      </w:r>
      <w:r w:rsidR="00442585">
        <w:t xml:space="preserve">e </w:t>
      </w:r>
      <w:r w:rsidR="002B513B">
        <w:t>calculate</w:t>
      </w:r>
      <w:r w:rsidR="00442585">
        <w:t xml:space="preserve"> </w:t>
      </w:r>
      <w:r w:rsidR="004808EB">
        <w:t>tax</w:t>
      </w:r>
      <w:r w:rsidR="003A3740">
        <w:t xml:space="preserve">es and contributions </w:t>
      </w:r>
      <w:r w:rsidR="00905F7B">
        <w:t xml:space="preserve">on their labor income </w:t>
      </w:r>
      <w:r w:rsidR="0095231E">
        <w:t>following</w:t>
      </w:r>
      <w:r w:rsidR="00905F7B">
        <w:t xml:space="preserve"> </w:t>
      </w:r>
      <w:r w:rsidR="00926B49">
        <w:t xml:space="preserve">the tax code and </w:t>
      </w:r>
      <w:r w:rsidR="002D4BB5">
        <w:t>considering</w:t>
      </w:r>
      <w:r w:rsidR="000D5868">
        <w:t xml:space="preserve"> their </w:t>
      </w:r>
      <w:r w:rsidR="00D1789D">
        <w:t>demographic and</w:t>
      </w:r>
      <w:r w:rsidR="000E34CD">
        <w:t xml:space="preserve"> imputed</w:t>
      </w:r>
      <w:r w:rsidR="00D1789D">
        <w:t xml:space="preserve"> labor </w:t>
      </w:r>
      <w:r w:rsidR="000E34CD">
        <w:t xml:space="preserve">market </w:t>
      </w:r>
      <w:r w:rsidR="000D5868">
        <w:t>characteristics</w:t>
      </w:r>
      <w:r w:rsidR="00F701C2">
        <w:t>.</w:t>
      </w:r>
      <w:r w:rsidR="003930A9">
        <w:t xml:space="preserve"> </w:t>
      </w:r>
      <w:r w:rsidR="00773A2F">
        <w:t>Similarly, we adjust transfers</w:t>
      </w:r>
      <w:r w:rsidR="004103D7">
        <w:t xml:space="preserve"> received</w:t>
      </w:r>
      <w:r w:rsidR="00773A2F">
        <w:t xml:space="preserve"> based on </w:t>
      </w:r>
      <w:r w:rsidR="00A750CC">
        <w:t>household</w:t>
      </w:r>
      <w:r w:rsidR="00010D64">
        <w:t>s’ new</w:t>
      </w:r>
      <w:r w:rsidR="00A750CC">
        <w:t xml:space="preserve"> income</w:t>
      </w:r>
      <w:r w:rsidR="00A37F2F">
        <w:t xml:space="preserve"> per capita</w:t>
      </w:r>
      <w:r w:rsidR="00A750CC">
        <w:t>.</w:t>
      </w:r>
      <w:r w:rsidR="00431629">
        <w:t xml:space="preserve"> </w:t>
      </w:r>
      <w:r w:rsidR="003F1B35">
        <w:t>N</w:t>
      </w:r>
      <w:r w:rsidR="002A6DE9">
        <w:t>on-contributory</w:t>
      </w:r>
      <w:r w:rsidR="00BB38C8">
        <w:t xml:space="preserve"> government</w:t>
      </w:r>
      <w:r w:rsidR="002A6DE9">
        <w:t xml:space="preserve"> transfers </w:t>
      </w:r>
      <w:r w:rsidR="001E1515">
        <w:t>are targeted at vulnerable households</w:t>
      </w:r>
      <w:r w:rsidR="00B05EF5">
        <w:t>, which are identified</w:t>
      </w:r>
      <w:r w:rsidR="00E83116">
        <w:t xml:space="preserve"> using a proxy means test (</w:t>
      </w:r>
      <w:proofErr w:type="spellStart"/>
      <w:r w:rsidR="00644301" w:rsidRPr="009E7E8D">
        <w:rPr>
          <w:i/>
        </w:rPr>
        <w:t>Índice</w:t>
      </w:r>
      <w:proofErr w:type="spellEnd"/>
      <w:r w:rsidR="001E1515" w:rsidRPr="009E7E8D">
        <w:rPr>
          <w:i/>
        </w:rPr>
        <w:t xml:space="preserve"> de </w:t>
      </w:r>
      <w:proofErr w:type="spellStart"/>
      <w:r w:rsidR="001E1515" w:rsidRPr="009E7E8D">
        <w:rPr>
          <w:i/>
        </w:rPr>
        <w:t>Carencias</w:t>
      </w:r>
      <w:proofErr w:type="spellEnd"/>
      <w:r w:rsidR="001E1515" w:rsidRPr="003F1B35">
        <w:rPr>
          <w:i/>
          <w:iCs/>
        </w:rPr>
        <w:t xml:space="preserve"> </w:t>
      </w:r>
      <w:proofErr w:type="spellStart"/>
      <w:r w:rsidR="00DD65B9" w:rsidRPr="009E7E8D">
        <w:rPr>
          <w:i/>
        </w:rPr>
        <w:t>Críticas</w:t>
      </w:r>
      <w:proofErr w:type="spellEnd"/>
      <w:r w:rsidR="00E83116">
        <w:rPr>
          <w:i/>
          <w:iCs/>
        </w:rPr>
        <w:t>)</w:t>
      </w:r>
      <w:r w:rsidR="003815F8">
        <w:rPr>
          <w:i/>
          <w:iCs/>
        </w:rPr>
        <w:t xml:space="preserve"> </w:t>
      </w:r>
      <w:r w:rsidR="003815F8" w:rsidRPr="003815F8">
        <w:t>constructed by MIDES</w:t>
      </w:r>
      <w:r w:rsidR="001E1515" w:rsidRPr="002C0355">
        <w:t>.</w:t>
      </w:r>
      <w:r w:rsidR="00F32096" w:rsidRPr="002C0355">
        <w:t xml:space="preserve"> The ICC </w:t>
      </w:r>
      <w:r w:rsidR="00363C0A">
        <w:t>estimates</w:t>
      </w:r>
      <w:r w:rsidR="00F32096" w:rsidRPr="002C0355">
        <w:t xml:space="preserve"> </w:t>
      </w:r>
      <w:r w:rsidR="00BA0B1C">
        <w:t xml:space="preserve">the </w:t>
      </w:r>
      <w:r w:rsidR="002C0355" w:rsidRPr="002C0355">
        <w:t>probability</w:t>
      </w:r>
      <w:r w:rsidR="00BA0B1C">
        <w:t xml:space="preserve"> that a household is in the </w:t>
      </w:r>
      <w:r w:rsidR="008A004A">
        <w:t>first quintile of the pre-fiscal income per capita distribution</w:t>
      </w:r>
      <w:r w:rsidR="00363C0A">
        <w:t xml:space="preserve"> based on a </w:t>
      </w:r>
      <w:r w:rsidR="00595075">
        <w:t>set</w:t>
      </w:r>
      <w:r w:rsidR="00363C0A">
        <w:t xml:space="preserve"> of observable and non-monetary characteristics</w:t>
      </w:r>
      <w:r w:rsidR="008534FF">
        <w:t xml:space="preserve"> (e.g., assets owned by the household, </w:t>
      </w:r>
      <w:r w:rsidR="00F80B60">
        <w:t>number of bedrooms in the house</w:t>
      </w:r>
      <w:r w:rsidR="00FF510C">
        <w:t>, access to piped water</w:t>
      </w:r>
      <w:r w:rsidR="008534FF">
        <w:t>)</w:t>
      </w:r>
      <w:r w:rsidR="004220DC">
        <w:t xml:space="preserve"> </w:t>
      </w:r>
      <w:r w:rsidR="00B4133D">
        <w:t>(MIDES, 2014).</w:t>
      </w:r>
      <w:r w:rsidR="00FF111B">
        <w:rPr>
          <w:rStyle w:val="FootnoteReference"/>
        </w:rPr>
        <w:footnoteReference w:id="24"/>
      </w:r>
      <w:r w:rsidR="00FF111B" w:rsidRPr="002C0355">
        <w:t xml:space="preserve"> </w:t>
      </w:r>
      <w:r w:rsidR="002A0269">
        <w:t xml:space="preserve"> </w:t>
      </w:r>
      <w:r w:rsidR="00FD2420">
        <w:t xml:space="preserve">Households whose ICC is </w:t>
      </w:r>
      <w:r w:rsidR="00184FB3">
        <w:t>above</w:t>
      </w:r>
      <w:r w:rsidR="00FD2420">
        <w:t xml:space="preserve"> a </w:t>
      </w:r>
      <w:r w:rsidR="00184FB3">
        <w:t>certain threshold are considered vulnerable</w:t>
      </w:r>
      <w:r w:rsidR="000241F9">
        <w:t>.</w:t>
      </w:r>
      <w:r w:rsidR="00567CA6">
        <w:rPr>
          <w:rStyle w:val="FootnoteReference"/>
        </w:rPr>
        <w:footnoteReference w:id="25"/>
      </w:r>
      <w:r w:rsidR="00C179C9">
        <w:t xml:space="preserve"> </w:t>
      </w:r>
      <w:r w:rsidR="00343A8F">
        <w:t xml:space="preserve">In order to qualify for social assistance, </w:t>
      </w:r>
      <w:r w:rsidR="00737C3D">
        <w:t>household</w:t>
      </w:r>
      <w:r w:rsidR="00700AFF">
        <w:t>s’ annual</w:t>
      </w:r>
      <w:r w:rsidR="00737C3D">
        <w:t xml:space="preserve"> income per capita must be </w:t>
      </w:r>
      <w:r w:rsidR="00147AA7">
        <w:t>below</w:t>
      </w:r>
      <w:r w:rsidR="008A7661">
        <w:t xml:space="preserve"> </w:t>
      </w:r>
      <w:r w:rsidR="00EE48D3">
        <w:t>101,</w:t>
      </w:r>
      <w:r w:rsidR="00EE48D3" w:rsidRPr="008552FA">
        <w:t>436</w:t>
      </w:r>
      <w:r w:rsidR="00343A8F">
        <w:t xml:space="preserve"> pesos</w:t>
      </w:r>
      <w:r w:rsidR="00737C3D">
        <w:t>.</w:t>
      </w:r>
      <w:r w:rsidR="003535CB">
        <w:rPr>
          <w:rStyle w:val="FootnoteReference"/>
        </w:rPr>
        <w:footnoteReference w:id="26"/>
      </w:r>
      <w:r w:rsidR="00737C3D">
        <w:t xml:space="preserve"> </w:t>
      </w:r>
      <w:r w:rsidR="00DA3D84">
        <w:t>G</w:t>
      </w:r>
      <w:r w:rsidR="00DA3D84" w:rsidRPr="00A552FB">
        <w:t>iven</w:t>
      </w:r>
      <w:r w:rsidR="00B07B6D" w:rsidRPr="00A552FB">
        <w:t xml:space="preserve"> the increase in female labor force participat</w:t>
      </w:r>
      <w:r w:rsidR="00AD3F9D" w:rsidRPr="00A552FB">
        <w:t>ion</w:t>
      </w:r>
      <w:r w:rsidR="00B07B6D" w:rsidRPr="00442E94">
        <w:t xml:space="preserve">, </w:t>
      </w:r>
      <w:r w:rsidR="00AD3F9D" w:rsidRPr="00442E94">
        <w:t xml:space="preserve">and consequent increase in </w:t>
      </w:r>
      <w:r w:rsidR="00760975" w:rsidRPr="00442E94">
        <w:t>househ</w:t>
      </w:r>
      <w:r w:rsidR="00A21CBE" w:rsidRPr="00442E94">
        <w:t xml:space="preserve">olds’ </w:t>
      </w:r>
      <w:r w:rsidR="00DB68A6">
        <w:t xml:space="preserve">total </w:t>
      </w:r>
      <w:r w:rsidR="00AD3F9D" w:rsidRPr="00442E94">
        <w:t xml:space="preserve">income, </w:t>
      </w:r>
      <w:r w:rsidR="00465305" w:rsidRPr="00442E94">
        <w:t xml:space="preserve">some households </w:t>
      </w:r>
      <w:r w:rsidR="00CF6504" w:rsidRPr="00442E94">
        <w:t>will</w:t>
      </w:r>
      <w:r w:rsidR="00465305" w:rsidRPr="00442E94">
        <w:t xml:space="preserve"> no longer </w:t>
      </w:r>
      <w:r w:rsidR="00CF6504" w:rsidRPr="00442E94">
        <w:t xml:space="preserve">be </w:t>
      </w:r>
      <w:r w:rsidR="00465305" w:rsidRPr="00442E94">
        <w:t>eligible</w:t>
      </w:r>
      <w:r w:rsidR="00FB3A05" w:rsidRPr="00442E94">
        <w:t xml:space="preserve"> to receive social assistance.</w:t>
      </w:r>
      <w:r w:rsidR="00B7023D" w:rsidRPr="00442E94">
        <w:t xml:space="preserve"> </w:t>
      </w:r>
      <w:r w:rsidR="00C73242" w:rsidRPr="00442E94">
        <w:t xml:space="preserve">We assume that the ICC </w:t>
      </w:r>
      <w:r w:rsidR="00FB6B29" w:rsidRPr="00442E94">
        <w:t>remains</w:t>
      </w:r>
      <w:r w:rsidR="00C73242" w:rsidRPr="00442E94">
        <w:t xml:space="preserve"> constant and that </w:t>
      </w:r>
      <w:r w:rsidR="00865DF7" w:rsidRPr="00442E94">
        <w:t xml:space="preserve">MIDES does not revisit </w:t>
      </w:r>
      <w:r w:rsidR="002A08C4" w:rsidRPr="00442E94">
        <w:t xml:space="preserve">these </w:t>
      </w:r>
      <w:r w:rsidR="00865DF7" w:rsidRPr="00442E94">
        <w:t>households</w:t>
      </w:r>
      <w:r w:rsidR="00C73242" w:rsidRPr="00442E94">
        <w:t>.</w:t>
      </w:r>
      <w:r w:rsidR="003E0754">
        <w:rPr>
          <w:rStyle w:val="FootnoteReference"/>
        </w:rPr>
        <w:footnoteReference w:id="27"/>
      </w:r>
      <w:r w:rsidR="00C73242" w:rsidRPr="00442E94">
        <w:t xml:space="preserve"> </w:t>
      </w:r>
      <w:r w:rsidR="00C73242" w:rsidRPr="00442E94">
        <w:lastRenderedPageBreak/>
        <w:t>Therefore</w:t>
      </w:r>
      <w:r w:rsidR="00B7023D">
        <w:t xml:space="preserve">, </w:t>
      </w:r>
      <w:r w:rsidR="00700AFF">
        <w:t>w</w:t>
      </w:r>
      <w:r w:rsidR="00F15ED0">
        <w:t xml:space="preserve">e remove </w:t>
      </w:r>
      <w:r w:rsidR="00E475CA">
        <w:t>transfers</w:t>
      </w:r>
      <w:r w:rsidR="00F15ED0">
        <w:t xml:space="preserve"> from </w:t>
      </w:r>
      <w:r w:rsidR="00442E94">
        <w:t>beneficiary</w:t>
      </w:r>
      <w:r w:rsidR="00B82A39">
        <w:t xml:space="preserve"> </w:t>
      </w:r>
      <w:r w:rsidR="00F15ED0">
        <w:t>households</w:t>
      </w:r>
      <w:r w:rsidR="00E475CA">
        <w:t xml:space="preserve"> who</w:t>
      </w:r>
      <w:r w:rsidR="00865DF7">
        <w:t>se</w:t>
      </w:r>
      <w:r w:rsidR="005B1DB5">
        <w:t xml:space="preserve"> new income per capita</w:t>
      </w:r>
      <w:r w:rsidR="00865DF7">
        <w:t xml:space="preserve"> is above the eligibility threshold</w:t>
      </w:r>
      <w:r w:rsidR="00B1238B">
        <w:t>.</w:t>
      </w:r>
      <w:r w:rsidR="005B1DB5">
        <w:t xml:space="preserve"> </w:t>
      </w:r>
      <w:proofErr w:type="gramStart"/>
      <w:r w:rsidR="005B1DB5">
        <w:t>In partic</w:t>
      </w:r>
      <w:r w:rsidR="00B12629">
        <w:t>ular, we</w:t>
      </w:r>
      <w:proofErr w:type="gramEnd"/>
      <w:r w:rsidR="00B12629">
        <w:t xml:space="preserve"> remove the following benefits: </w:t>
      </w:r>
      <w:r w:rsidR="00140D22">
        <w:t xml:space="preserve">AFAM-PE, TUS, </w:t>
      </w:r>
      <w:r w:rsidR="00DF07F8">
        <w:t xml:space="preserve">and </w:t>
      </w:r>
      <w:r w:rsidR="00140D22">
        <w:t>food baskets.</w:t>
      </w:r>
      <w:r w:rsidR="00F15ED0">
        <w:t xml:space="preserve"> </w:t>
      </w:r>
      <w:r w:rsidR="003F1613">
        <w:t>For consistency, we</w:t>
      </w:r>
      <w:r w:rsidR="00BA2AE1">
        <w:t xml:space="preserve"> </w:t>
      </w:r>
      <w:r w:rsidR="003F1613">
        <w:t xml:space="preserve">also </w:t>
      </w:r>
      <w:r w:rsidR="00BA2AE1">
        <w:t xml:space="preserve">remove </w:t>
      </w:r>
      <w:r w:rsidR="006E552C">
        <w:t>individual-level unemployment benefit</w:t>
      </w:r>
      <w:r w:rsidR="00436A4E">
        <w:t>s</w:t>
      </w:r>
      <w:r w:rsidR="006E552C">
        <w:t xml:space="preserve"> from all </w:t>
      </w:r>
      <w:r w:rsidR="002E6604">
        <w:t>women who bec</w:t>
      </w:r>
      <w:r w:rsidR="00F33D76">
        <w:t>o</w:t>
      </w:r>
      <w:r w:rsidR="002E6604">
        <w:t>me employed</w:t>
      </w:r>
      <w:r w:rsidR="006E552C">
        <w:t>.</w:t>
      </w:r>
    </w:p>
    <w:p w14:paraId="690C587E" w14:textId="343AF0C0" w:rsidR="009C30E6" w:rsidRPr="009C30E6" w:rsidRDefault="00365E62" w:rsidP="009C30E6">
      <w:pPr>
        <w:pStyle w:val="Heading3"/>
        <w:numPr>
          <w:ilvl w:val="1"/>
          <w:numId w:val="5"/>
        </w:numPr>
      </w:pPr>
      <w:bookmarkStart w:id="19" w:name="_Toc136425148"/>
      <w:r w:rsidRPr="00A750CC">
        <w:t>Result</w:t>
      </w:r>
      <w:r w:rsidR="009C30E6">
        <w:t>s</w:t>
      </w:r>
      <w:bookmarkEnd w:id="19"/>
    </w:p>
    <w:p w14:paraId="72B913A2" w14:textId="40538E65" w:rsidR="00DF598E" w:rsidRDefault="006E0BA5" w:rsidP="00364D87">
      <w:pPr>
        <w:spacing w:before="120" w:after="120" w:line="257" w:lineRule="auto"/>
      </w:pPr>
      <w:r w:rsidRPr="006C3830">
        <w:rPr>
          <w:b/>
        </w:rPr>
        <w:t>Th</w:t>
      </w:r>
      <w:r w:rsidR="00364D87" w:rsidRPr="006C3830">
        <w:rPr>
          <w:b/>
          <w:bCs/>
        </w:rPr>
        <w:t>is</w:t>
      </w:r>
      <w:r w:rsidRPr="006C3830">
        <w:rPr>
          <w:b/>
          <w:bCs/>
        </w:rPr>
        <w:t xml:space="preserve"> </w:t>
      </w:r>
      <w:r w:rsidR="006B2D20" w:rsidRPr="006C3830">
        <w:rPr>
          <w:b/>
          <w:bCs/>
        </w:rPr>
        <w:t>s</w:t>
      </w:r>
      <w:r w:rsidR="001F5C4D" w:rsidRPr="006C3830">
        <w:rPr>
          <w:b/>
          <w:bCs/>
        </w:rPr>
        <w:t>ection</w:t>
      </w:r>
      <w:r w:rsidR="006B2D20" w:rsidRPr="006C3830">
        <w:rPr>
          <w:b/>
          <w:bCs/>
        </w:rPr>
        <w:t xml:space="preserve"> </w:t>
      </w:r>
      <w:r w:rsidRPr="006C3830">
        <w:rPr>
          <w:b/>
          <w:bCs/>
        </w:rPr>
        <w:t>simulat</w:t>
      </w:r>
      <w:r w:rsidR="006B2D20" w:rsidRPr="006C3830">
        <w:rPr>
          <w:b/>
          <w:bCs/>
        </w:rPr>
        <w:t>e</w:t>
      </w:r>
      <w:r w:rsidR="001F5C4D" w:rsidRPr="006C3830">
        <w:rPr>
          <w:b/>
          <w:bCs/>
        </w:rPr>
        <w:t>s</w:t>
      </w:r>
      <w:r w:rsidRPr="006C3830">
        <w:rPr>
          <w:b/>
          <w:bCs/>
        </w:rPr>
        <w:t xml:space="preserve"> </w:t>
      </w:r>
      <w:r w:rsidR="00EC0E28" w:rsidRPr="006C3830">
        <w:rPr>
          <w:b/>
          <w:bCs/>
        </w:rPr>
        <w:t xml:space="preserve">an increase in female labor force participation of </w:t>
      </w:r>
      <w:r w:rsidR="00600BC5" w:rsidRPr="006C3830">
        <w:rPr>
          <w:b/>
          <w:bCs/>
        </w:rPr>
        <w:t xml:space="preserve">2.3 percentage points, </w:t>
      </w:r>
      <w:r w:rsidR="00082AD5">
        <w:rPr>
          <w:b/>
          <w:bCs/>
        </w:rPr>
        <w:t>resulting in</w:t>
      </w:r>
      <w:r w:rsidR="00D62AE3" w:rsidRPr="006C3830">
        <w:rPr>
          <w:b/>
          <w:bCs/>
        </w:rPr>
        <w:t xml:space="preserve"> the </w:t>
      </w:r>
      <w:r w:rsidR="007A39A5" w:rsidRPr="006C3830">
        <w:rPr>
          <w:b/>
          <w:bCs/>
        </w:rPr>
        <w:t>incorporat</w:t>
      </w:r>
      <w:r w:rsidR="00D62AE3" w:rsidRPr="006C3830">
        <w:rPr>
          <w:b/>
          <w:bCs/>
        </w:rPr>
        <w:t>ion</w:t>
      </w:r>
      <w:r w:rsidR="007A39A5" w:rsidRPr="006C3830">
        <w:rPr>
          <w:b/>
        </w:rPr>
        <w:t xml:space="preserve"> </w:t>
      </w:r>
      <w:r w:rsidR="00D62AE3" w:rsidRPr="006C3830">
        <w:rPr>
          <w:b/>
          <w:bCs/>
        </w:rPr>
        <w:t xml:space="preserve">of </w:t>
      </w:r>
      <w:r w:rsidR="00611D18" w:rsidRPr="006C3830">
        <w:rPr>
          <w:b/>
        </w:rPr>
        <w:t>24,</w:t>
      </w:r>
      <w:r w:rsidR="00E930A3" w:rsidRPr="006C3830">
        <w:rPr>
          <w:b/>
        </w:rPr>
        <w:t xml:space="preserve">763 </w:t>
      </w:r>
      <w:r w:rsidR="0063673A" w:rsidRPr="006C3830">
        <w:rPr>
          <w:b/>
        </w:rPr>
        <w:t xml:space="preserve">women </w:t>
      </w:r>
      <w:r w:rsidR="00BF2D66" w:rsidRPr="006C3830">
        <w:rPr>
          <w:b/>
        </w:rPr>
        <w:t>into the labor market</w:t>
      </w:r>
      <w:r w:rsidR="00F65A94" w:rsidRPr="006C3830">
        <w:rPr>
          <w:b/>
        </w:rPr>
        <w:t>.</w:t>
      </w:r>
      <w:r w:rsidR="00DF598E" w:rsidRPr="00DF598E">
        <w:t xml:space="preserve"> </w:t>
      </w:r>
      <w:r w:rsidR="00480818">
        <w:t xml:space="preserve">This change has several implications </w:t>
      </w:r>
      <w:proofErr w:type="gramStart"/>
      <w:r w:rsidR="00480818">
        <w:t>to</w:t>
      </w:r>
      <w:proofErr w:type="gramEnd"/>
      <w:r w:rsidR="00480818">
        <w:t xml:space="preserve"> the</w:t>
      </w:r>
      <w:r w:rsidR="006C3830">
        <w:t xml:space="preserve"> household </w:t>
      </w:r>
      <w:r w:rsidR="00AE0671">
        <w:t>composition</w:t>
      </w:r>
      <w:r w:rsidR="00454861">
        <w:t xml:space="preserve"> of the country</w:t>
      </w:r>
      <w:r w:rsidR="008C235A">
        <w:t>.</w:t>
      </w:r>
      <w:r w:rsidR="00480818">
        <w:t xml:space="preserve"> </w:t>
      </w:r>
      <w:r w:rsidR="002E5924">
        <w:t xml:space="preserve">While the share of </w:t>
      </w:r>
      <w:r w:rsidR="00E466CA">
        <w:t xml:space="preserve">couples </w:t>
      </w:r>
      <w:r w:rsidR="005451F9">
        <w:t xml:space="preserve">with children </w:t>
      </w:r>
      <w:r w:rsidR="00E466CA">
        <w:t xml:space="preserve">where only </w:t>
      </w:r>
      <w:r w:rsidR="00E423A0">
        <w:t>the man works</w:t>
      </w:r>
      <w:r w:rsidR="00E466CA">
        <w:t xml:space="preserve"> </w:t>
      </w:r>
      <w:r w:rsidR="002E5924">
        <w:t>decreases</w:t>
      </w:r>
      <w:r w:rsidR="00E423A0">
        <w:t xml:space="preserve"> by 1.1 percentage points</w:t>
      </w:r>
      <w:r w:rsidR="002E5924">
        <w:t xml:space="preserve">, </w:t>
      </w:r>
      <w:r w:rsidR="007A4C07">
        <w:t xml:space="preserve">the share of couples </w:t>
      </w:r>
      <w:r w:rsidR="005451F9">
        <w:t xml:space="preserve">with children </w:t>
      </w:r>
      <w:r w:rsidR="007A4C07">
        <w:t>where both member</w:t>
      </w:r>
      <w:r w:rsidR="00E423A0">
        <w:t>s</w:t>
      </w:r>
      <w:r w:rsidR="007A4C07">
        <w:t xml:space="preserve"> work increases </w:t>
      </w:r>
      <w:r w:rsidR="000161D5">
        <w:t>by</w:t>
      </w:r>
      <w:r w:rsidR="00EF779D">
        <w:t xml:space="preserve"> </w:t>
      </w:r>
      <w:r w:rsidR="00C808B1">
        <w:t>1.0</w:t>
      </w:r>
      <w:r w:rsidR="00EC7A7B">
        <w:t xml:space="preserve"> (Table 3)</w:t>
      </w:r>
      <w:r w:rsidR="00DF598E">
        <w:t>.</w:t>
      </w:r>
    </w:p>
    <w:p w14:paraId="545DB1A6" w14:textId="608A966D" w:rsidR="000F4637" w:rsidRDefault="00091597" w:rsidP="00EA0513">
      <w:r w:rsidRPr="002B5456">
        <w:rPr>
          <w:b/>
          <w:bCs/>
        </w:rPr>
        <w:t xml:space="preserve">The incorporation of women into the labor market </w:t>
      </w:r>
      <w:r w:rsidR="00015765">
        <w:rPr>
          <w:b/>
          <w:bCs/>
        </w:rPr>
        <w:t xml:space="preserve">has a considerable positive effect on </w:t>
      </w:r>
      <w:r w:rsidR="00F05DB1" w:rsidRPr="002B5456">
        <w:rPr>
          <w:b/>
          <w:bCs/>
        </w:rPr>
        <w:t>households’ income.</w:t>
      </w:r>
      <w:r w:rsidR="00F05DB1">
        <w:t xml:space="preserve"> </w:t>
      </w:r>
      <w:r w:rsidR="008B7F0B">
        <w:t xml:space="preserve">Households </w:t>
      </w:r>
      <w:r w:rsidR="001134C5">
        <w:t xml:space="preserve">in which women </w:t>
      </w:r>
      <w:r w:rsidR="000F4637">
        <w:t>become employed</w:t>
      </w:r>
      <w:r w:rsidR="00E33DA3">
        <w:t xml:space="preserve"> </w:t>
      </w:r>
      <w:r w:rsidR="00901982">
        <w:t>show</w:t>
      </w:r>
      <w:r w:rsidR="008B7F0B">
        <w:t xml:space="preserve"> </w:t>
      </w:r>
      <w:r w:rsidR="00702495">
        <w:t>an average</w:t>
      </w:r>
      <w:r w:rsidR="00F85598">
        <w:t xml:space="preserve"> increase in</w:t>
      </w:r>
      <w:r w:rsidR="008B7F0B">
        <w:t xml:space="preserve"> </w:t>
      </w:r>
      <w:r w:rsidR="00C638F5">
        <w:t xml:space="preserve">per capita </w:t>
      </w:r>
      <w:r w:rsidR="00F82A57">
        <w:t xml:space="preserve">pre-fiscal </w:t>
      </w:r>
      <w:r w:rsidR="00C638F5">
        <w:t xml:space="preserve">income </w:t>
      </w:r>
      <w:r w:rsidR="00CC4ADF">
        <w:t>of</w:t>
      </w:r>
      <w:r w:rsidR="00C638F5">
        <w:t xml:space="preserve"> </w:t>
      </w:r>
      <w:r w:rsidR="006A128E">
        <w:t>25</w:t>
      </w:r>
      <w:r w:rsidR="00C638F5">
        <w:t>.1 percent</w:t>
      </w:r>
      <w:r w:rsidR="00EC7E60">
        <w:t xml:space="preserve">. </w:t>
      </w:r>
      <w:r w:rsidR="007E6444">
        <w:t>The effect on d</w:t>
      </w:r>
      <w:r w:rsidR="008C3939">
        <w:t xml:space="preserve">isposable income </w:t>
      </w:r>
      <w:r w:rsidR="007E6444">
        <w:t>is slightly smaller</w:t>
      </w:r>
      <w:r w:rsidR="008C3939">
        <w:t xml:space="preserve"> </w:t>
      </w:r>
      <w:r w:rsidR="007E6444">
        <w:t>(</w:t>
      </w:r>
      <w:r w:rsidR="008C3939">
        <w:t>24.7 percent</w:t>
      </w:r>
      <w:r w:rsidR="007E6444">
        <w:t xml:space="preserve">) given the </w:t>
      </w:r>
      <w:r w:rsidR="00247757">
        <w:t>additional income taxes paid</w:t>
      </w:r>
      <w:r w:rsidR="007E6444">
        <w:t xml:space="preserve"> </w:t>
      </w:r>
      <w:r w:rsidR="00F91FB4">
        <w:t xml:space="preserve">and </w:t>
      </w:r>
      <w:r w:rsidR="007E6444">
        <w:t xml:space="preserve">removal of </w:t>
      </w:r>
      <w:r w:rsidR="00554036">
        <w:t>transfer</w:t>
      </w:r>
      <w:r w:rsidR="00D2435A">
        <w:t>s</w:t>
      </w:r>
      <w:r w:rsidR="00247757">
        <w:t xml:space="preserve"> </w:t>
      </w:r>
      <w:r w:rsidR="005903D6">
        <w:t>for households that become ineligible</w:t>
      </w:r>
      <w:r w:rsidR="00D761E1">
        <w:t>.</w:t>
      </w:r>
      <w:r w:rsidR="006831AA">
        <w:t xml:space="preserve"> In fact, </w:t>
      </w:r>
      <w:r w:rsidR="00183582">
        <w:t xml:space="preserve">these </w:t>
      </w:r>
      <w:r w:rsidR="00607239">
        <w:t xml:space="preserve">households </w:t>
      </w:r>
      <w:r w:rsidR="0081353E">
        <w:t>are estimated</w:t>
      </w:r>
      <w:r w:rsidR="009035C9">
        <w:t xml:space="preserve"> to pay 32.7 percent more in</w:t>
      </w:r>
      <w:r w:rsidR="0086159F">
        <w:t xml:space="preserve"> </w:t>
      </w:r>
      <w:r w:rsidR="00E96281">
        <w:t xml:space="preserve">personal </w:t>
      </w:r>
      <w:r w:rsidR="0086159F">
        <w:t xml:space="preserve">income taxes, while they </w:t>
      </w:r>
      <w:r w:rsidR="00183582">
        <w:t xml:space="preserve">are estimated to receive </w:t>
      </w:r>
      <w:r w:rsidR="00841602">
        <w:t>32.7 percent less benefits from direct transfers.</w:t>
      </w:r>
      <w:r w:rsidR="00247757">
        <w:t xml:space="preserve"> </w:t>
      </w:r>
      <w:r w:rsidR="00D761E1">
        <w:t xml:space="preserve"> </w:t>
      </w:r>
    </w:p>
    <w:p w14:paraId="5237D103" w14:textId="60D774E0" w:rsidR="00DF598E" w:rsidRDefault="00DF598E" w:rsidP="00EA0513">
      <w:r w:rsidRPr="00B27552">
        <w:t>The gender income gap, i.e. the ratio between female and male average hourly wages controlling by characteristics of the job and of the person, falls by 0.5pp in the simulation and reaches 94.6 percent. The ratio between the actual female average hourly wages to the average wages women would perceive If their characteristics were remunerated as men’s falls slightly and reaches 87.1 percent.</w:t>
      </w:r>
    </w:p>
    <w:p w14:paraId="15EE094C" w14:textId="458F8B21" w:rsidR="00DD53CC" w:rsidRPr="002D26B9" w:rsidRDefault="00876A01" w:rsidP="00EA0513">
      <w:pPr>
        <w:rPr>
          <w:b/>
          <w:bCs/>
        </w:rPr>
      </w:pPr>
      <w:r>
        <w:rPr>
          <w:b/>
          <w:bCs/>
        </w:rPr>
        <w:t>Poverty decreases</w:t>
      </w:r>
      <w:r w:rsidR="002C3AF0">
        <w:rPr>
          <w:b/>
          <w:bCs/>
        </w:rPr>
        <w:t xml:space="preserve"> for households directly impacted by the</w:t>
      </w:r>
      <w:r w:rsidR="008A0B1F">
        <w:rPr>
          <w:b/>
          <w:bCs/>
        </w:rPr>
        <w:t xml:space="preserve"> simulated</w:t>
      </w:r>
      <w:r w:rsidR="002C3AF0">
        <w:rPr>
          <w:b/>
          <w:bCs/>
        </w:rPr>
        <w:t xml:space="preserve"> increase in female labor force participation, resulting in a slight decline in national poverty.</w:t>
      </w:r>
      <w:r w:rsidR="008A0B1F">
        <w:rPr>
          <w:b/>
          <w:bCs/>
        </w:rPr>
        <w:t xml:space="preserve"> </w:t>
      </w:r>
      <w:r w:rsidR="001B02C0">
        <w:t xml:space="preserve">The poverty headcount rate based on disposable income per capita decreases by </w:t>
      </w:r>
      <w:r w:rsidR="00CB18EA">
        <w:t>8.4</w:t>
      </w:r>
      <w:r>
        <w:t xml:space="preserve"> percentage points</w:t>
      </w:r>
      <w:r w:rsidR="00CB18EA">
        <w:t xml:space="preserve"> among households where there is at least one woman </w:t>
      </w:r>
      <w:r w:rsidR="00A7787B">
        <w:t xml:space="preserve">who become employed. At the national level, poverty and </w:t>
      </w:r>
      <w:r w:rsidR="00F236A0">
        <w:t xml:space="preserve">inequality decrease modestly by </w:t>
      </w:r>
      <w:r>
        <w:t>0.</w:t>
      </w:r>
      <w:r w:rsidR="00F236A0">
        <w:t>2</w:t>
      </w:r>
      <w:r>
        <w:t xml:space="preserve"> percentage points</w:t>
      </w:r>
      <w:r w:rsidR="00F236A0">
        <w:t xml:space="preserve"> and 0.1 Gini points, respectively</w:t>
      </w:r>
      <w:r>
        <w:t xml:space="preserve">. </w:t>
      </w:r>
    </w:p>
    <w:p w14:paraId="6C545829" w14:textId="222F1807" w:rsidR="004F165C" w:rsidRPr="002A3673" w:rsidRDefault="00941DC0" w:rsidP="00EA0513">
      <w:r w:rsidRPr="00546ACE">
        <w:rPr>
          <w:b/>
          <w:bCs/>
        </w:rPr>
        <w:t xml:space="preserve">An increase in female labor </w:t>
      </w:r>
      <w:r w:rsidR="000325B3" w:rsidRPr="00546ACE">
        <w:rPr>
          <w:b/>
          <w:bCs/>
        </w:rPr>
        <w:t xml:space="preserve">force participation could have positive </w:t>
      </w:r>
      <w:r w:rsidR="00F83601">
        <w:rPr>
          <w:b/>
          <w:bCs/>
        </w:rPr>
        <w:t xml:space="preserve">net </w:t>
      </w:r>
      <w:r w:rsidR="000325B3" w:rsidRPr="00546ACE">
        <w:rPr>
          <w:b/>
          <w:bCs/>
        </w:rPr>
        <w:t>fiscal effects.</w:t>
      </w:r>
      <w:r w:rsidR="000325B3">
        <w:t xml:space="preserve"> </w:t>
      </w:r>
      <w:r w:rsidR="0030650C">
        <w:t xml:space="preserve">Based on the data from the 2017 ECH, </w:t>
      </w:r>
      <w:r w:rsidR="008204FF">
        <w:t>results suggest</w:t>
      </w:r>
      <w:r w:rsidR="0030650C">
        <w:t xml:space="preserve"> that government</w:t>
      </w:r>
      <w:r w:rsidR="00B22B6D">
        <w:t xml:space="preserve"> revenue from direct taxes </w:t>
      </w:r>
      <w:r w:rsidR="008204FF">
        <w:t>would</w:t>
      </w:r>
      <w:r w:rsidR="00066195">
        <w:t xml:space="preserve"> </w:t>
      </w:r>
      <w:r w:rsidR="00B22B6D">
        <w:t xml:space="preserve">increase </w:t>
      </w:r>
      <w:r w:rsidR="008204FF">
        <w:t xml:space="preserve">by </w:t>
      </w:r>
      <w:r w:rsidR="00B22B6D">
        <w:t>0.</w:t>
      </w:r>
      <w:r w:rsidR="004726A7">
        <w:t xml:space="preserve">3 </w:t>
      </w:r>
      <w:r w:rsidR="00B22B6D">
        <w:t>percent</w:t>
      </w:r>
      <w:r w:rsidR="00C51D93">
        <w:t xml:space="preserve">, whereas </w:t>
      </w:r>
      <w:r w:rsidR="00066195">
        <w:t xml:space="preserve">spending on </w:t>
      </w:r>
      <w:r w:rsidR="009E5534">
        <w:t xml:space="preserve">direct </w:t>
      </w:r>
      <w:r w:rsidR="00C92DF3">
        <w:t xml:space="preserve">transfers </w:t>
      </w:r>
      <w:r w:rsidR="00066195">
        <w:t>would decline</w:t>
      </w:r>
      <w:r w:rsidR="001B5617">
        <w:t xml:space="preserve"> by 1 percent</w:t>
      </w:r>
      <w:r w:rsidR="00C51D93">
        <w:t>.</w:t>
      </w:r>
      <w:r w:rsidR="00E7622C">
        <w:t xml:space="preserve"> </w:t>
      </w:r>
      <w:r w:rsidR="00C51D93">
        <w:t>M</w:t>
      </w:r>
      <w:r w:rsidR="00E7622C">
        <w:t xml:space="preserve">ost of </w:t>
      </w:r>
      <w:r w:rsidR="00C51D93">
        <w:t>the saving</w:t>
      </w:r>
      <w:r w:rsidR="00E96F51">
        <w:t xml:space="preserve">s from direct transfers can be attributed to the </w:t>
      </w:r>
      <w:r w:rsidR="00E7622C">
        <w:t>AFAM-PE</w:t>
      </w:r>
      <w:r w:rsidR="009E7DD2">
        <w:t xml:space="preserve">, with benefits </w:t>
      </w:r>
      <w:r w:rsidR="00E7621C">
        <w:t xml:space="preserve">declining by </w:t>
      </w:r>
      <w:r w:rsidR="00454088">
        <w:t xml:space="preserve">1.2 percent </w:t>
      </w:r>
      <w:r w:rsidR="007715B9">
        <w:t xml:space="preserve">due to a reduction </w:t>
      </w:r>
      <w:r w:rsidR="00A91EB4">
        <w:t>i</w:t>
      </w:r>
      <w:r w:rsidR="007715B9">
        <w:t>n beneficiary households</w:t>
      </w:r>
      <w:r w:rsidR="00E7622C">
        <w:t>.</w:t>
      </w:r>
      <w:r w:rsidR="00352BD2">
        <w:t xml:space="preserve"> T</w:t>
      </w:r>
      <w:r w:rsidR="001143BC">
        <w:t xml:space="preserve">his would result in a net revenue increase of </w:t>
      </w:r>
      <w:r w:rsidR="00E01904">
        <w:t>about 1</w:t>
      </w:r>
      <w:r w:rsidR="00FC1749">
        <w:t xml:space="preserve"> percent.</w:t>
      </w:r>
    </w:p>
    <w:p w14:paraId="500E7481" w14:textId="77777777" w:rsidR="00AD6582" w:rsidRDefault="00AD6582" w:rsidP="00BF7066">
      <w:pPr>
        <w:pStyle w:val="FootnoteText"/>
      </w:pPr>
    </w:p>
    <w:p w14:paraId="03265F80" w14:textId="2ED58194" w:rsidR="00AD6582" w:rsidRPr="00EC7A7B" w:rsidRDefault="00AD6582" w:rsidP="00EC7A7B">
      <w:pPr>
        <w:pStyle w:val="Caption"/>
        <w:keepNext/>
        <w:jc w:val="center"/>
        <w:rPr>
          <w:sz w:val="22"/>
          <w:szCs w:val="22"/>
        </w:rPr>
      </w:pPr>
      <w:r w:rsidRPr="00555BEA">
        <w:rPr>
          <w:sz w:val="22"/>
          <w:szCs w:val="22"/>
        </w:rPr>
        <w:t xml:space="preserve">Table </w:t>
      </w:r>
      <w:r>
        <w:rPr>
          <w:sz w:val="22"/>
          <w:szCs w:val="22"/>
        </w:rPr>
        <w:t>3</w:t>
      </w:r>
      <w:r w:rsidRPr="00555BEA">
        <w:rPr>
          <w:sz w:val="22"/>
          <w:szCs w:val="22"/>
        </w:rPr>
        <w:t xml:space="preserve">. </w:t>
      </w:r>
      <w:r w:rsidR="00EC7A7B">
        <w:rPr>
          <w:sz w:val="22"/>
          <w:szCs w:val="22"/>
        </w:rPr>
        <w:t>Selected results from simulating an increase in female labor force participation</w:t>
      </w:r>
    </w:p>
    <w:p w14:paraId="7F3F6085" w14:textId="64E22E97" w:rsidR="00365E62" w:rsidRPr="00BF7066" w:rsidRDefault="00365E62" w:rsidP="00BF7066">
      <w:pPr>
        <w:pStyle w:val="FootnoteText"/>
      </w:pPr>
    </w:p>
    <w:tbl>
      <w:tblPr>
        <w:tblW w:w="10287" w:type="dxa"/>
        <w:tblLook w:val="04A0" w:firstRow="1" w:lastRow="0" w:firstColumn="1" w:lastColumn="0" w:noHBand="0" w:noVBand="1"/>
      </w:tblPr>
      <w:tblGrid>
        <w:gridCol w:w="715"/>
        <w:gridCol w:w="253"/>
        <w:gridCol w:w="4636"/>
        <w:gridCol w:w="253"/>
        <w:gridCol w:w="1636"/>
        <w:gridCol w:w="253"/>
        <w:gridCol w:w="1636"/>
        <w:gridCol w:w="253"/>
        <w:gridCol w:w="820"/>
      </w:tblGrid>
      <w:tr w:rsidR="00A8494E" w:rsidRPr="00A8494E" w14:paraId="0C401FD6" w14:textId="77777777" w:rsidTr="00A8494E">
        <w:trPr>
          <w:trHeight w:val="274"/>
        </w:trPr>
        <w:tc>
          <w:tcPr>
            <w:tcW w:w="715" w:type="dxa"/>
            <w:tcBorders>
              <w:top w:val="nil"/>
              <w:left w:val="nil"/>
              <w:bottom w:val="nil"/>
              <w:right w:val="nil"/>
            </w:tcBorders>
            <w:noWrap/>
            <w:vAlign w:val="bottom"/>
            <w:hideMark/>
          </w:tcPr>
          <w:p w14:paraId="06AE5F7A" w14:textId="77777777" w:rsidR="00D903A4" w:rsidRPr="00B27552" w:rsidRDefault="00D903A4" w:rsidP="00D903A4">
            <w:pPr>
              <w:spacing w:after="0" w:line="240" w:lineRule="auto"/>
              <w:jc w:val="left"/>
              <w:rPr>
                <w:rFonts w:ascii="Times New Roman" w:eastAsia="Times New Roman" w:hAnsi="Times New Roman" w:cs="Times New Roman"/>
                <w:sz w:val="16"/>
                <w:szCs w:val="16"/>
              </w:rPr>
            </w:pPr>
          </w:p>
        </w:tc>
        <w:tc>
          <w:tcPr>
            <w:tcW w:w="238" w:type="dxa"/>
            <w:tcBorders>
              <w:top w:val="single" w:sz="4" w:space="0" w:color="auto"/>
              <w:left w:val="nil"/>
              <w:bottom w:val="nil"/>
              <w:right w:val="nil"/>
            </w:tcBorders>
            <w:noWrap/>
            <w:vAlign w:val="bottom"/>
            <w:hideMark/>
          </w:tcPr>
          <w:p w14:paraId="6A917906"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4636" w:type="dxa"/>
            <w:tcBorders>
              <w:top w:val="single" w:sz="4" w:space="0" w:color="auto"/>
              <w:left w:val="nil"/>
              <w:bottom w:val="nil"/>
              <w:right w:val="nil"/>
            </w:tcBorders>
            <w:noWrap/>
            <w:vAlign w:val="bottom"/>
            <w:hideMark/>
          </w:tcPr>
          <w:p w14:paraId="69DCD3BD"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208" w:type="dxa"/>
            <w:tcBorders>
              <w:top w:val="single" w:sz="4" w:space="0" w:color="auto"/>
              <w:left w:val="nil"/>
              <w:bottom w:val="nil"/>
              <w:right w:val="nil"/>
            </w:tcBorders>
            <w:noWrap/>
            <w:vAlign w:val="bottom"/>
            <w:hideMark/>
          </w:tcPr>
          <w:p w14:paraId="57B3DD77"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4490" w:type="dxa"/>
            <w:gridSpan w:val="5"/>
            <w:tcBorders>
              <w:top w:val="single" w:sz="4" w:space="0" w:color="auto"/>
              <w:left w:val="nil"/>
              <w:bottom w:val="single" w:sz="4" w:space="0" w:color="auto"/>
              <w:right w:val="nil"/>
            </w:tcBorders>
            <w:noWrap/>
            <w:vAlign w:val="bottom"/>
            <w:hideMark/>
          </w:tcPr>
          <w:p w14:paraId="2A43F5F9" w14:textId="77777777" w:rsidR="00D903A4" w:rsidRPr="00B27552" w:rsidRDefault="00D903A4" w:rsidP="00D903A4">
            <w:pPr>
              <w:spacing w:after="0" w:line="240" w:lineRule="auto"/>
              <w:jc w:val="center"/>
              <w:rPr>
                <w:rFonts w:ascii="Calibri" w:eastAsia="Times New Roman" w:hAnsi="Calibri" w:cs="Calibri"/>
                <w:color w:val="000000"/>
                <w:sz w:val="16"/>
                <w:szCs w:val="16"/>
              </w:rPr>
            </w:pPr>
            <w:r w:rsidRPr="00B27552">
              <w:rPr>
                <w:rFonts w:ascii="Calibri" w:eastAsia="Times New Roman" w:hAnsi="Calibri" w:cs="Calibri"/>
                <w:color w:val="000000"/>
                <w:sz w:val="16"/>
                <w:szCs w:val="16"/>
              </w:rPr>
              <w:t>∆ in Female Labor Force Participation</w:t>
            </w:r>
          </w:p>
        </w:tc>
      </w:tr>
      <w:tr w:rsidR="00A8494E" w:rsidRPr="00A8494E" w14:paraId="7A726C1F" w14:textId="77777777" w:rsidTr="00A8494E">
        <w:trPr>
          <w:trHeight w:val="274"/>
        </w:trPr>
        <w:tc>
          <w:tcPr>
            <w:tcW w:w="715" w:type="dxa"/>
            <w:tcBorders>
              <w:top w:val="nil"/>
              <w:left w:val="nil"/>
              <w:bottom w:val="nil"/>
              <w:right w:val="nil"/>
            </w:tcBorders>
            <w:noWrap/>
            <w:vAlign w:val="bottom"/>
            <w:hideMark/>
          </w:tcPr>
          <w:p w14:paraId="13120812" w14:textId="77777777" w:rsidR="00D903A4" w:rsidRPr="00B27552" w:rsidRDefault="00D903A4" w:rsidP="00D903A4">
            <w:pPr>
              <w:spacing w:after="0" w:line="240" w:lineRule="auto"/>
              <w:jc w:val="center"/>
              <w:rPr>
                <w:rFonts w:ascii="Calibri" w:eastAsia="Times New Roman" w:hAnsi="Calibri" w:cs="Calibri"/>
                <w:color w:val="000000"/>
                <w:sz w:val="16"/>
                <w:szCs w:val="16"/>
              </w:rPr>
            </w:pPr>
          </w:p>
        </w:tc>
        <w:tc>
          <w:tcPr>
            <w:tcW w:w="238" w:type="dxa"/>
            <w:tcBorders>
              <w:top w:val="nil"/>
              <w:left w:val="nil"/>
              <w:bottom w:val="nil"/>
              <w:right w:val="nil"/>
            </w:tcBorders>
            <w:noWrap/>
            <w:vAlign w:val="bottom"/>
            <w:hideMark/>
          </w:tcPr>
          <w:p w14:paraId="35CC5E46" w14:textId="77777777" w:rsidR="00D903A4" w:rsidRPr="00B27552" w:rsidRDefault="00D903A4" w:rsidP="00D903A4">
            <w:pPr>
              <w:spacing w:after="0" w:line="240" w:lineRule="auto"/>
              <w:jc w:val="left"/>
              <w:rPr>
                <w:rFonts w:ascii="Times New Roman" w:eastAsia="Times New Roman" w:hAnsi="Times New Roman" w:cs="Times New Roman"/>
                <w:sz w:val="16"/>
                <w:szCs w:val="16"/>
              </w:rPr>
            </w:pPr>
          </w:p>
        </w:tc>
        <w:tc>
          <w:tcPr>
            <w:tcW w:w="4636" w:type="dxa"/>
            <w:tcBorders>
              <w:top w:val="nil"/>
              <w:left w:val="nil"/>
              <w:bottom w:val="nil"/>
              <w:right w:val="nil"/>
            </w:tcBorders>
            <w:noWrap/>
            <w:vAlign w:val="bottom"/>
            <w:hideMark/>
          </w:tcPr>
          <w:p w14:paraId="7C49850F" w14:textId="77777777" w:rsidR="00D903A4" w:rsidRPr="00B27552" w:rsidRDefault="00D903A4" w:rsidP="00D903A4">
            <w:pPr>
              <w:spacing w:after="0" w:line="240" w:lineRule="auto"/>
              <w:jc w:val="left"/>
              <w:rPr>
                <w:rFonts w:ascii="Times New Roman" w:eastAsia="Times New Roman" w:hAnsi="Times New Roman" w:cs="Times New Roman"/>
                <w:sz w:val="16"/>
                <w:szCs w:val="16"/>
              </w:rPr>
            </w:pPr>
          </w:p>
        </w:tc>
        <w:tc>
          <w:tcPr>
            <w:tcW w:w="208" w:type="dxa"/>
            <w:tcBorders>
              <w:top w:val="nil"/>
              <w:left w:val="nil"/>
              <w:bottom w:val="nil"/>
              <w:right w:val="nil"/>
            </w:tcBorders>
            <w:noWrap/>
            <w:vAlign w:val="bottom"/>
            <w:hideMark/>
          </w:tcPr>
          <w:p w14:paraId="2B82844A" w14:textId="77777777" w:rsidR="00D903A4" w:rsidRPr="00B27552" w:rsidRDefault="00D903A4" w:rsidP="00D903A4">
            <w:pPr>
              <w:spacing w:after="0" w:line="240" w:lineRule="auto"/>
              <w:jc w:val="left"/>
              <w:rPr>
                <w:rFonts w:ascii="Times New Roman" w:eastAsia="Times New Roman" w:hAnsi="Times New Roman" w:cs="Times New Roman"/>
                <w:sz w:val="16"/>
                <w:szCs w:val="16"/>
              </w:rPr>
            </w:pPr>
          </w:p>
        </w:tc>
        <w:tc>
          <w:tcPr>
            <w:tcW w:w="1636" w:type="dxa"/>
            <w:tcBorders>
              <w:top w:val="nil"/>
              <w:left w:val="nil"/>
              <w:bottom w:val="nil"/>
              <w:right w:val="nil"/>
            </w:tcBorders>
            <w:noWrap/>
            <w:vAlign w:val="bottom"/>
            <w:hideMark/>
          </w:tcPr>
          <w:p w14:paraId="4919DDD4" w14:textId="77777777" w:rsidR="00D903A4" w:rsidRPr="00B27552" w:rsidRDefault="00D903A4" w:rsidP="00D903A4">
            <w:pPr>
              <w:spacing w:after="0" w:line="240" w:lineRule="auto"/>
              <w:jc w:val="center"/>
              <w:rPr>
                <w:rFonts w:ascii="Calibri" w:eastAsia="Times New Roman" w:hAnsi="Calibri" w:cs="Calibri"/>
                <w:color w:val="000000"/>
                <w:sz w:val="16"/>
                <w:szCs w:val="16"/>
              </w:rPr>
            </w:pPr>
            <w:r w:rsidRPr="00B27552">
              <w:rPr>
                <w:rFonts w:ascii="Calibri" w:eastAsia="Times New Roman" w:hAnsi="Calibri" w:cs="Calibri"/>
                <w:color w:val="000000"/>
                <w:sz w:val="16"/>
                <w:szCs w:val="16"/>
              </w:rPr>
              <w:t>Before</w:t>
            </w:r>
          </w:p>
        </w:tc>
        <w:tc>
          <w:tcPr>
            <w:tcW w:w="198" w:type="dxa"/>
            <w:tcBorders>
              <w:top w:val="nil"/>
              <w:left w:val="nil"/>
              <w:bottom w:val="nil"/>
              <w:right w:val="nil"/>
            </w:tcBorders>
            <w:noWrap/>
            <w:vAlign w:val="bottom"/>
            <w:hideMark/>
          </w:tcPr>
          <w:p w14:paraId="005FEAC8" w14:textId="77777777" w:rsidR="00D903A4" w:rsidRPr="00B27552" w:rsidRDefault="00D903A4" w:rsidP="00D903A4">
            <w:pPr>
              <w:spacing w:after="0" w:line="240" w:lineRule="auto"/>
              <w:jc w:val="center"/>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7ABEA92F" w14:textId="77777777" w:rsidR="00D903A4" w:rsidRPr="00B27552" w:rsidRDefault="00D903A4" w:rsidP="00D903A4">
            <w:pPr>
              <w:spacing w:after="0" w:line="240" w:lineRule="auto"/>
              <w:jc w:val="center"/>
              <w:rPr>
                <w:rFonts w:ascii="Calibri" w:eastAsia="Times New Roman" w:hAnsi="Calibri" w:cs="Calibri"/>
                <w:color w:val="000000"/>
                <w:sz w:val="16"/>
                <w:szCs w:val="16"/>
              </w:rPr>
            </w:pPr>
            <w:r w:rsidRPr="00B27552">
              <w:rPr>
                <w:rFonts w:ascii="Calibri" w:eastAsia="Times New Roman" w:hAnsi="Calibri" w:cs="Calibri"/>
                <w:color w:val="000000"/>
                <w:sz w:val="16"/>
                <w:szCs w:val="16"/>
              </w:rPr>
              <w:t>After</w:t>
            </w:r>
          </w:p>
        </w:tc>
        <w:tc>
          <w:tcPr>
            <w:tcW w:w="198" w:type="dxa"/>
            <w:tcBorders>
              <w:top w:val="nil"/>
              <w:left w:val="nil"/>
              <w:bottom w:val="nil"/>
              <w:right w:val="nil"/>
            </w:tcBorders>
            <w:noWrap/>
            <w:vAlign w:val="bottom"/>
            <w:hideMark/>
          </w:tcPr>
          <w:p w14:paraId="7F6D688F" w14:textId="77777777" w:rsidR="00D903A4" w:rsidRPr="00B27552" w:rsidRDefault="00D903A4" w:rsidP="00D903A4">
            <w:pPr>
              <w:spacing w:after="0" w:line="240" w:lineRule="auto"/>
              <w:jc w:val="center"/>
              <w:rPr>
                <w:rFonts w:ascii="Calibri" w:eastAsia="Times New Roman" w:hAnsi="Calibri" w:cs="Calibri"/>
                <w:color w:val="000000"/>
                <w:sz w:val="16"/>
                <w:szCs w:val="16"/>
              </w:rPr>
            </w:pPr>
          </w:p>
        </w:tc>
        <w:tc>
          <w:tcPr>
            <w:tcW w:w="820" w:type="dxa"/>
            <w:tcBorders>
              <w:top w:val="nil"/>
              <w:left w:val="nil"/>
              <w:bottom w:val="nil"/>
              <w:right w:val="nil"/>
            </w:tcBorders>
            <w:noWrap/>
            <w:vAlign w:val="bottom"/>
            <w:hideMark/>
          </w:tcPr>
          <w:p w14:paraId="2351212C" w14:textId="77777777" w:rsidR="00D903A4" w:rsidRPr="00B27552" w:rsidRDefault="00D903A4" w:rsidP="00D903A4">
            <w:pPr>
              <w:spacing w:after="0" w:line="240" w:lineRule="auto"/>
              <w:jc w:val="center"/>
              <w:rPr>
                <w:rFonts w:ascii="Calibri" w:eastAsia="Times New Roman" w:hAnsi="Calibri" w:cs="Calibri"/>
                <w:color w:val="000000"/>
                <w:sz w:val="16"/>
                <w:szCs w:val="16"/>
              </w:rPr>
            </w:pPr>
            <w:r w:rsidRPr="00B27552">
              <w:rPr>
                <w:rFonts w:ascii="Calibri" w:eastAsia="Times New Roman" w:hAnsi="Calibri" w:cs="Calibri"/>
                <w:color w:val="000000"/>
                <w:sz w:val="16"/>
                <w:szCs w:val="16"/>
              </w:rPr>
              <w:t>Change</w:t>
            </w:r>
          </w:p>
        </w:tc>
      </w:tr>
      <w:tr w:rsidR="00A8494E" w:rsidRPr="00A8494E" w14:paraId="530C8EB2" w14:textId="77777777" w:rsidTr="00A8494E">
        <w:trPr>
          <w:trHeight w:val="274"/>
        </w:trPr>
        <w:tc>
          <w:tcPr>
            <w:tcW w:w="715" w:type="dxa"/>
            <w:tcBorders>
              <w:top w:val="nil"/>
              <w:left w:val="nil"/>
              <w:bottom w:val="nil"/>
              <w:right w:val="nil"/>
            </w:tcBorders>
            <w:noWrap/>
            <w:vAlign w:val="bottom"/>
            <w:hideMark/>
          </w:tcPr>
          <w:p w14:paraId="12AAEAFC" w14:textId="77777777" w:rsidR="00D903A4" w:rsidRPr="00B27552" w:rsidRDefault="00D903A4" w:rsidP="00D903A4">
            <w:pPr>
              <w:spacing w:after="0" w:line="240" w:lineRule="auto"/>
              <w:jc w:val="center"/>
              <w:rPr>
                <w:rFonts w:ascii="Calibri" w:eastAsia="Times New Roman" w:hAnsi="Calibri" w:cs="Calibri"/>
                <w:color w:val="000000"/>
                <w:sz w:val="16"/>
                <w:szCs w:val="16"/>
              </w:rPr>
            </w:pPr>
          </w:p>
        </w:tc>
        <w:tc>
          <w:tcPr>
            <w:tcW w:w="4874" w:type="dxa"/>
            <w:gridSpan w:val="2"/>
            <w:tcBorders>
              <w:top w:val="nil"/>
              <w:left w:val="nil"/>
              <w:bottom w:val="nil"/>
              <w:right w:val="nil"/>
            </w:tcBorders>
            <w:shd w:val="clear" w:color="000000" w:fill="8497B0"/>
            <w:noWrap/>
            <w:vAlign w:val="bottom"/>
            <w:hideMark/>
          </w:tcPr>
          <w:p w14:paraId="420573A1"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Labor market</w:t>
            </w:r>
          </w:p>
        </w:tc>
        <w:tc>
          <w:tcPr>
            <w:tcW w:w="208" w:type="dxa"/>
            <w:tcBorders>
              <w:top w:val="nil"/>
              <w:left w:val="nil"/>
              <w:bottom w:val="nil"/>
              <w:right w:val="nil"/>
            </w:tcBorders>
            <w:shd w:val="clear" w:color="000000" w:fill="8497B0"/>
            <w:noWrap/>
            <w:vAlign w:val="bottom"/>
            <w:hideMark/>
          </w:tcPr>
          <w:p w14:paraId="6631B629"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1636" w:type="dxa"/>
            <w:tcBorders>
              <w:top w:val="nil"/>
              <w:left w:val="nil"/>
              <w:bottom w:val="nil"/>
              <w:right w:val="nil"/>
            </w:tcBorders>
            <w:shd w:val="clear" w:color="000000" w:fill="8497B0"/>
            <w:noWrap/>
            <w:vAlign w:val="bottom"/>
            <w:hideMark/>
          </w:tcPr>
          <w:p w14:paraId="1C263876"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198" w:type="dxa"/>
            <w:tcBorders>
              <w:top w:val="nil"/>
              <w:left w:val="nil"/>
              <w:bottom w:val="nil"/>
              <w:right w:val="nil"/>
            </w:tcBorders>
            <w:shd w:val="clear" w:color="000000" w:fill="8497B0"/>
            <w:noWrap/>
            <w:vAlign w:val="bottom"/>
            <w:hideMark/>
          </w:tcPr>
          <w:p w14:paraId="0150BA1F"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1636" w:type="dxa"/>
            <w:tcBorders>
              <w:top w:val="nil"/>
              <w:left w:val="nil"/>
              <w:bottom w:val="nil"/>
              <w:right w:val="nil"/>
            </w:tcBorders>
            <w:shd w:val="clear" w:color="000000" w:fill="8497B0"/>
            <w:noWrap/>
            <w:vAlign w:val="bottom"/>
            <w:hideMark/>
          </w:tcPr>
          <w:p w14:paraId="1100F408"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198" w:type="dxa"/>
            <w:tcBorders>
              <w:top w:val="nil"/>
              <w:left w:val="nil"/>
              <w:bottom w:val="nil"/>
              <w:right w:val="nil"/>
            </w:tcBorders>
            <w:shd w:val="clear" w:color="000000" w:fill="8497B0"/>
            <w:noWrap/>
            <w:vAlign w:val="bottom"/>
            <w:hideMark/>
          </w:tcPr>
          <w:p w14:paraId="6C9E964B"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820" w:type="dxa"/>
            <w:tcBorders>
              <w:top w:val="nil"/>
              <w:left w:val="nil"/>
              <w:bottom w:val="nil"/>
              <w:right w:val="nil"/>
            </w:tcBorders>
            <w:shd w:val="clear" w:color="000000" w:fill="8497B0"/>
            <w:noWrap/>
            <w:vAlign w:val="bottom"/>
            <w:hideMark/>
          </w:tcPr>
          <w:p w14:paraId="1AF8BA37"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r>
      <w:tr w:rsidR="00A8494E" w:rsidRPr="00A8494E" w14:paraId="720F0289" w14:textId="77777777" w:rsidTr="00A8494E">
        <w:trPr>
          <w:trHeight w:val="274"/>
        </w:trPr>
        <w:tc>
          <w:tcPr>
            <w:tcW w:w="715" w:type="dxa"/>
            <w:tcBorders>
              <w:top w:val="nil"/>
              <w:left w:val="nil"/>
              <w:bottom w:val="nil"/>
              <w:right w:val="nil"/>
            </w:tcBorders>
            <w:noWrap/>
            <w:vAlign w:val="bottom"/>
            <w:hideMark/>
          </w:tcPr>
          <w:p w14:paraId="23CB1DC7" w14:textId="77777777" w:rsidR="00D903A4" w:rsidRPr="00B27552" w:rsidRDefault="00D903A4" w:rsidP="00D903A4">
            <w:pPr>
              <w:spacing w:after="0" w:line="240" w:lineRule="auto"/>
              <w:jc w:val="left"/>
              <w:rPr>
                <w:rFonts w:ascii="Calibri" w:eastAsia="Times New Roman" w:hAnsi="Calibri" w:cs="Calibri"/>
                <w:color w:val="000000"/>
                <w:sz w:val="16"/>
                <w:szCs w:val="16"/>
              </w:rPr>
            </w:pPr>
          </w:p>
        </w:tc>
        <w:tc>
          <w:tcPr>
            <w:tcW w:w="238" w:type="dxa"/>
            <w:tcBorders>
              <w:top w:val="nil"/>
              <w:left w:val="nil"/>
              <w:bottom w:val="nil"/>
              <w:right w:val="nil"/>
            </w:tcBorders>
            <w:noWrap/>
            <w:vAlign w:val="bottom"/>
            <w:hideMark/>
          </w:tcPr>
          <w:p w14:paraId="42423056" w14:textId="77777777" w:rsidR="00D903A4" w:rsidRPr="00B27552" w:rsidRDefault="00D903A4" w:rsidP="00D903A4">
            <w:pPr>
              <w:spacing w:after="0" w:line="240" w:lineRule="auto"/>
              <w:jc w:val="left"/>
              <w:rPr>
                <w:rFonts w:ascii="Times New Roman" w:eastAsia="Times New Roman" w:hAnsi="Times New Roman" w:cs="Times New Roman"/>
                <w:sz w:val="16"/>
                <w:szCs w:val="16"/>
              </w:rPr>
            </w:pPr>
          </w:p>
        </w:tc>
        <w:tc>
          <w:tcPr>
            <w:tcW w:w="4636" w:type="dxa"/>
            <w:tcBorders>
              <w:top w:val="nil"/>
              <w:left w:val="nil"/>
              <w:bottom w:val="nil"/>
              <w:right w:val="nil"/>
            </w:tcBorders>
            <w:noWrap/>
            <w:vAlign w:val="bottom"/>
            <w:hideMark/>
          </w:tcPr>
          <w:p w14:paraId="0045334E"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Female labor force participation rate (18-64)</w:t>
            </w:r>
          </w:p>
        </w:tc>
        <w:tc>
          <w:tcPr>
            <w:tcW w:w="208" w:type="dxa"/>
            <w:tcBorders>
              <w:top w:val="nil"/>
              <w:left w:val="nil"/>
              <w:bottom w:val="nil"/>
              <w:right w:val="nil"/>
            </w:tcBorders>
            <w:noWrap/>
            <w:vAlign w:val="bottom"/>
            <w:hideMark/>
          </w:tcPr>
          <w:p w14:paraId="79CDE590" w14:textId="77777777" w:rsidR="00D903A4" w:rsidRPr="00B27552" w:rsidRDefault="00D903A4" w:rsidP="00D903A4">
            <w:pPr>
              <w:spacing w:after="0" w:line="240" w:lineRule="auto"/>
              <w:jc w:val="lef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6AECC849"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72.4%</w:t>
            </w:r>
          </w:p>
        </w:tc>
        <w:tc>
          <w:tcPr>
            <w:tcW w:w="198" w:type="dxa"/>
            <w:tcBorders>
              <w:top w:val="nil"/>
              <w:left w:val="nil"/>
              <w:bottom w:val="nil"/>
              <w:right w:val="nil"/>
            </w:tcBorders>
            <w:noWrap/>
            <w:vAlign w:val="bottom"/>
            <w:hideMark/>
          </w:tcPr>
          <w:p w14:paraId="18CC943B"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7B5F4AB6"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74.8%</w:t>
            </w:r>
          </w:p>
        </w:tc>
        <w:tc>
          <w:tcPr>
            <w:tcW w:w="198" w:type="dxa"/>
            <w:tcBorders>
              <w:top w:val="nil"/>
              <w:left w:val="nil"/>
              <w:bottom w:val="nil"/>
              <w:right w:val="nil"/>
            </w:tcBorders>
            <w:noWrap/>
            <w:vAlign w:val="bottom"/>
            <w:hideMark/>
          </w:tcPr>
          <w:p w14:paraId="11C21990"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820" w:type="dxa"/>
            <w:tcBorders>
              <w:top w:val="nil"/>
              <w:left w:val="nil"/>
              <w:bottom w:val="nil"/>
              <w:right w:val="nil"/>
            </w:tcBorders>
            <w:noWrap/>
            <w:vAlign w:val="bottom"/>
            <w:hideMark/>
          </w:tcPr>
          <w:p w14:paraId="5E5B5D16"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2.3 pp.</w:t>
            </w:r>
          </w:p>
        </w:tc>
      </w:tr>
      <w:tr w:rsidR="00A8494E" w:rsidRPr="00A8494E" w14:paraId="09730886" w14:textId="77777777" w:rsidTr="00A8494E">
        <w:trPr>
          <w:trHeight w:val="274"/>
        </w:trPr>
        <w:tc>
          <w:tcPr>
            <w:tcW w:w="715" w:type="dxa"/>
            <w:tcBorders>
              <w:top w:val="nil"/>
              <w:left w:val="nil"/>
              <w:bottom w:val="nil"/>
              <w:right w:val="nil"/>
            </w:tcBorders>
            <w:noWrap/>
            <w:vAlign w:val="bottom"/>
            <w:hideMark/>
          </w:tcPr>
          <w:p w14:paraId="44E1310A"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238" w:type="dxa"/>
            <w:tcBorders>
              <w:top w:val="nil"/>
              <w:left w:val="nil"/>
              <w:bottom w:val="nil"/>
              <w:right w:val="nil"/>
            </w:tcBorders>
            <w:noWrap/>
            <w:vAlign w:val="bottom"/>
            <w:hideMark/>
          </w:tcPr>
          <w:p w14:paraId="0E231C6F" w14:textId="77777777" w:rsidR="00D903A4" w:rsidRPr="00B27552" w:rsidRDefault="00D903A4" w:rsidP="00D903A4">
            <w:pPr>
              <w:spacing w:after="0" w:line="240" w:lineRule="auto"/>
              <w:jc w:val="left"/>
              <w:rPr>
                <w:rFonts w:ascii="Times New Roman" w:eastAsia="Times New Roman" w:hAnsi="Times New Roman" w:cs="Times New Roman"/>
                <w:sz w:val="16"/>
                <w:szCs w:val="16"/>
              </w:rPr>
            </w:pPr>
          </w:p>
        </w:tc>
        <w:tc>
          <w:tcPr>
            <w:tcW w:w="4636" w:type="dxa"/>
            <w:tcBorders>
              <w:top w:val="nil"/>
              <w:left w:val="nil"/>
              <w:bottom w:val="nil"/>
              <w:right w:val="nil"/>
            </w:tcBorders>
            <w:noWrap/>
            <w:vAlign w:val="bottom"/>
            <w:hideMark/>
          </w:tcPr>
          <w:p w14:paraId="740692F5"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Number of women participating in the labor market (18-64)</w:t>
            </w:r>
          </w:p>
        </w:tc>
        <w:tc>
          <w:tcPr>
            <w:tcW w:w="208" w:type="dxa"/>
            <w:tcBorders>
              <w:top w:val="nil"/>
              <w:left w:val="nil"/>
              <w:bottom w:val="nil"/>
              <w:right w:val="nil"/>
            </w:tcBorders>
            <w:noWrap/>
            <w:vAlign w:val="bottom"/>
            <w:hideMark/>
          </w:tcPr>
          <w:p w14:paraId="3B40A988" w14:textId="77777777" w:rsidR="00D903A4" w:rsidRPr="00B27552" w:rsidRDefault="00D903A4" w:rsidP="00D903A4">
            <w:pPr>
              <w:spacing w:after="0" w:line="240" w:lineRule="auto"/>
              <w:jc w:val="lef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3AB488DE"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764,195</w:t>
            </w:r>
          </w:p>
        </w:tc>
        <w:tc>
          <w:tcPr>
            <w:tcW w:w="198" w:type="dxa"/>
            <w:tcBorders>
              <w:top w:val="nil"/>
              <w:left w:val="nil"/>
              <w:bottom w:val="nil"/>
              <w:right w:val="nil"/>
            </w:tcBorders>
            <w:noWrap/>
            <w:vAlign w:val="bottom"/>
            <w:hideMark/>
          </w:tcPr>
          <w:p w14:paraId="3AF38AE9"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2C24D374"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788,958</w:t>
            </w:r>
          </w:p>
        </w:tc>
        <w:tc>
          <w:tcPr>
            <w:tcW w:w="198" w:type="dxa"/>
            <w:tcBorders>
              <w:top w:val="nil"/>
              <w:left w:val="nil"/>
              <w:bottom w:val="nil"/>
              <w:right w:val="nil"/>
            </w:tcBorders>
            <w:noWrap/>
            <w:vAlign w:val="bottom"/>
            <w:hideMark/>
          </w:tcPr>
          <w:p w14:paraId="1BD0D592"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820" w:type="dxa"/>
            <w:tcBorders>
              <w:top w:val="nil"/>
              <w:left w:val="nil"/>
              <w:bottom w:val="nil"/>
              <w:right w:val="nil"/>
            </w:tcBorders>
            <w:noWrap/>
            <w:vAlign w:val="bottom"/>
            <w:hideMark/>
          </w:tcPr>
          <w:p w14:paraId="359E0001"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3.2%</w:t>
            </w:r>
          </w:p>
        </w:tc>
      </w:tr>
      <w:tr w:rsidR="00A8494E" w:rsidRPr="00A8494E" w14:paraId="603A470A" w14:textId="77777777" w:rsidTr="00A8494E">
        <w:trPr>
          <w:trHeight w:val="274"/>
        </w:trPr>
        <w:tc>
          <w:tcPr>
            <w:tcW w:w="715" w:type="dxa"/>
            <w:tcBorders>
              <w:top w:val="nil"/>
              <w:left w:val="nil"/>
              <w:bottom w:val="nil"/>
              <w:right w:val="nil"/>
            </w:tcBorders>
            <w:noWrap/>
            <w:vAlign w:val="bottom"/>
            <w:hideMark/>
          </w:tcPr>
          <w:p w14:paraId="1D1AAE36"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4874" w:type="dxa"/>
            <w:gridSpan w:val="2"/>
            <w:tcBorders>
              <w:top w:val="nil"/>
              <w:left w:val="nil"/>
              <w:bottom w:val="nil"/>
              <w:right w:val="nil"/>
            </w:tcBorders>
            <w:shd w:val="clear" w:color="000000" w:fill="8497B0"/>
            <w:noWrap/>
            <w:vAlign w:val="bottom"/>
            <w:hideMark/>
          </w:tcPr>
          <w:p w14:paraId="239A0391"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Household welfare</w:t>
            </w:r>
          </w:p>
        </w:tc>
        <w:tc>
          <w:tcPr>
            <w:tcW w:w="208" w:type="dxa"/>
            <w:tcBorders>
              <w:top w:val="nil"/>
              <w:left w:val="nil"/>
              <w:bottom w:val="nil"/>
              <w:right w:val="nil"/>
            </w:tcBorders>
            <w:shd w:val="clear" w:color="000000" w:fill="8497B0"/>
            <w:noWrap/>
            <w:vAlign w:val="bottom"/>
            <w:hideMark/>
          </w:tcPr>
          <w:p w14:paraId="6687A31F"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1636" w:type="dxa"/>
            <w:tcBorders>
              <w:top w:val="nil"/>
              <w:left w:val="nil"/>
              <w:bottom w:val="nil"/>
              <w:right w:val="nil"/>
            </w:tcBorders>
            <w:shd w:val="clear" w:color="000000" w:fill="8497B0"/>
            <w:noWrap/>
            <w:vAlign w:val="bottom"/>
            <w:hideMark/>
          </w:tcPr>
          <w:p w14:paraId="7C89C71B"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198" w:type="dxa"/>
            <w:tcBorders>
              <w:top w:val="nil"/>
              <w:left w:val="nil"/>
              <w:bottom w:val="nil"/>
              <w:right w:val="nil"/>
            </w:tcBorders>
            <w:shd w:val="clear" w:color="000000" w:fill="8497B0"/>
            <w:noWrap/>
            <w:vAlign w:val="bottom"/>
            <w:hideMark/>
          </w:tcPr>
          <w:p w14:paraId="4CA857C2"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1636" w:type="dxa"/>
            <w:tcBorders>
              <w:top w:val="nil"/>
              <w:left w:val="nil"/>
              <w:bottom w:val="nil"/>
              <w:right w:val="nil"/>
            </w:tcBorders>
            <w:shd w:val="clear" w:color="000000" w:fill="8497B0"/>
            <w:noWrap/>
            <w:vAlign w:val="bottom"/>
            <w:hideMark/>
          </w:tcPr>
          <w:p w14:paraId="713B9E8A"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198" w:type="dxa"/>
            <w:tcBorders>
              <w:top w:val="nil"/>
              <w:left w:val="nil"/>
              <w:bottom w:val="nil"/>
              <w:right w:val="nil"/>
            </w:tcBorders>
            <w:shd w:val="clear" w:color="000000" w:fill="8497B0"/>
            <w:noWrap/>
            <w:vAlign w:val="bottom"/>
            <w:hideMark/>
          </w:tcPr>
          <w:p w14:paraId="173E1802"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820" w:type="dxa"/>
            <w:tcBorders>
              <w:top w:val="nil"/>
              <w:left w:val="nil"/>
              <w:bottom w:val="nil"/>
              <w:right w:val="nil"/>
            </w:tcBorders>
            <w:shd w:val="clear" w:color="000000" w:fill="8497B0"/>
            <w:noWrap/>
            <w:vAlign w:val="bottom"/>
            <w:hideMark/>
          </w:tcPr>
          <w:p w14:paraId="442BD294"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r>
      <w:tr w:rsidR="00A8494E" w:rsidRPr="00A8494E" w14:paraId="6A91645B" w14:textId="77777777" w:rsidTr="00A8494E">
        <w:trPr>
          <w:trHeight w:val="274"/>
        </w:trPr>
        <w:tc>
          <w:tcPr>
            <w:tcW w:w="715" w:type="dxa"/>
            <w:tcBorders>
              <w:top w:val="nil"/>
              <w:left w:val="nil"/>
              <w:bottom w:val="nil"/>
              <w:right w:val="nil"/>
            </w:tcBorders>
            <w:noWrap/>
            <w:vAlign w:val="bottom"/>
            <w:hideMark/>
          </w:tcPr>
          <w:p w14:paraId="36C42B37" w14:textId="77777777" w:rsidR="00D903A4" w:rsidRPr="00B27552" w:rsidRDefault="00D903A4" w:rsidP="00D903A4">
            <w:pPr>
              <w:spacing w:after="0" w:line="240" w:lineRule="auto"/>
              <w:jc w:val="left"/>
              <w:rPr>
                <w:rFonts w:ascii="Calibri" w:eastAsia="Times New Roman" w:hAnsi="Calibri" w:cs="Calibri"/>
                <w:color w:val="000000"/>
                <w:sz w:val="16"/>
                <w:szCs w:val="16"/>
              </w:rPr>
            </w:pPr>
          </w:p>
        </w:tc>
        <w:tc>
          <w:tcPr>
            <w:tcW w:w="238" w:type="dxa"/>
            <w:tcBorders>
              <w:top w:val="nil"/>
              <w:left w:val="nil"/>
              <w:bottom w:val="nil"/>
              <w:right w:val="nil"/>
            </w:tcBorders>
            <w:noWrap/>
            <w:vAlign w:val="bottom"/>
            <w:hideMark/>
          </w:tcPr>
          <w:p w14:paraId="1EBABBFE" w14:textId="77777777" w:rsidR="00D903A4" w:rsidRPr="00B27552" w:rsidRDefault="00D903A4" w:rsidP="00D903A4">
            <w:pPr>
              <w:spacing w:after="0" w:line="240" w:lineRule="auto"/>
              <w:jc w:val="left"/>
              <w:rPr>
                <w:rFonts w:ascii="Times New Roman" w:eastAsia="Times New Roman" w:hAnsi="Times New Roman" w:cs="Times New Roman"/>
                <w:sz w:val="16"/>
                <w:szCs w:val="16"/>
              </w:rPr>
            </w:pPr>
          </w:p>
        </w:tc>
        <w:tc>
          <w:tcPr>
            <w:tcW w:w="4636" w:type="dxa"/>
            <w:tcBorders>
              <w:top w:val="nil"/>
              <w:left w:val="nil"/>
              <w:bottom w:val="nil"/>
              <w:right w:val="nil"/>
            </w:tcBorders>
            <w:noWrap/>
            <w:vAlign w:val="bottom"/>
            <w:hideMark/>
          </w:tcPr>
          <w:p w14:paraId="7CCABF09"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Average market income per capita among impacted HHs</w:t>
            </w:r>
          </w:p>
        </w:tc>
        <w:tc>
          <w:tcPr>
            <w:tcW w:w="208" w:type="dxa"/>
            <w:tcBorders>
              <w:top w:val="nil"/>
              <w:left w:val="nil"/>
              <w:bottom w:val="nil"/>
              <w:right w:val="nil"/>
            </w:tcBorders>
            <w:noWrap/>
            <w:vAlign w:val="bottom"/>
            <w:hideMark/>
          </w:tcPr>
          <w:p w14:paraId="090FAC37" w14:textId="77777777" w:rsidR="00D903A4" w:rsidRPr="00B27552" w:rsidRDefault="00D903A4" w:rsidP="00D903A4">
            <w:pPr>
              <w:spacing w:after="0" w:line="240" w:lineRule="auto"/>
              <w:jc w:val="lef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394E7BD8"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278,102</w:t>
            </w:r>
          </w:p>
        </w:tc>
        <w:tc>
          <w:tcPr>
            <w:tcW w:w="198" w:type="dxa"/>
            <w:tcBorders>
              <w:top w:val="nil"/>
              <w:left w:val="nil"/>
              <w:bottom w:val="nil"/>
              <w:right w:val="nil"/>
            </w:tcBorders>
            <w:noWrap/>
            <w:vAlign w:val="bottom"/>
            <w:hideMark/>
          </w:tcPr>
          <w:p w14:paraId="12F1DA59"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635249BE"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347,965</w:t>
            </w:r>
          </w:p>
        </w:tc>
        <w:tc>
          <w:tcPr>
            <w:tcW w:w="198" w:type="dxa"/>
            <w:tcBorders>
              <w:top w:val="nil"/>
              <w:left w:val="nil"/>
              <w:bottom w:val="nil"/>
              <w:right w:val="nil"/>
            </w:tcBorders>
            <w:noWrap/>
            <w:vAlign w:val="bottom"/>
            <w:hideMark/>
          </w:tcPr>
          <w:p w14:paraId="66E3EDD0"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820" w:type="dxa"/>
            <w:tcBorders>
              <w:top w:val="nil"/>
              <w:left w:val="nil"/>
              <w:bottom w:val="nil"/>
              <w:right w:val="nil"/>
            </w:tcBorders>
            <w:noWrap/>
            <w:vAlign w:val="bottom"/>
            <w:hideMark/>
          </w:tcPr>
          <w:p w14:paraId="51274510"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25.1%</w:t>
            </w:r>
          </w:p>
        </w:tc>
      </w:tr>
      <w:tr w:rsidR="00A8494E" w:rsidRPr="00A8494E" w14:paraId="12552C52" w14:textId="77777777" w:rsidTr="00A8494E">
        <w:trPr>
          <w:trHeight w:val="274"/>
        </w:trPr>
        <w:tc>
          <w:tcPr>
            <w:tcW w:w="715" w:type="dxa"/>
            <w:tcBorders>
              <w:top w:val="nil"/>
              <w:left w:val="nil"/>
              <w:bottom w:val="nil"/>
              <w:right w:val="nil"/>
            </w:tcBorders>
            <w:noWrap/>
            <w:vAlign w:val="bottom"/>
            <w:hideMark/>
          </w:tcPr>
          <w:p w14:paraId="66C3E653"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238" w:type="dxa"/>
            <w:tcBorders>
              <w:top w:val="nil"/>
              <w:left w:val="nil"/>
              <w:bottom w:val="nil"/>
              <w:right w:val="nil"/>
            </w:tcBorders>
            <w:noWrap/>
            <w:vAlign w:val="bottom"/>
            <w:hideMark/>
          </w:tcPr>
          <w:p w14:paraId="0467F43E" w14:textId="77777777" w:rsidR="00D903A4" w:rsidRPr="00B27552" w:rsidRDefault="00D903A4" w:rsidP="00D903A4">
            <w:pPr>
              <w:spacing w:after="0" w:line="240" w:lineRule="auto"/>
              <w:jc w:val="left"/>
              <w:rPr>
                <w:rFonts w:ascii="Times New Roman" w:eastAsia="Times New Roman" w:hAnsi="Times New Roman" w:cs="Times New Roman"/>
                <w:sz w:val="16"/>
                <w:szCs w:val="16"/>
              </w:rPr>
            </w:pPr>
          </w:p>
        </w:tc>
        <w:tc>
          <w:tcPr>
            <w:tcW w:w="4636" w:type="dxa"/>
            <w:tcBorders>
              <w:top w:val="nil"/>
              <w:left w:val="nil"/>
              <w:bottom w:val="nil"/>
              <w:right w:val="nil"/>
            </w:tcBorders>
            <w:noWrap/>
            <w:vAlign w:val="bottom"/>
            <w:hideMark/>
          </w:tcPr>
          <w:p w14:paraId="2311AC31"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Average disposable income per capita among impacted HHs</w:t>
            </w:r>
          </w:p>
        </w:tc>
        <w:tc>
          <w:tcPr>
            <w:tcW w:w="208" w:type="dxa"/>
            <w:tcBorders>
              <w:top w:val="nil"/>
              <w:left w:val="nil"/>
              <w:bottom w:val="nil"/>
              <w:right w:val="nil"/>
            </w:tcBorders>
            <w:noWrap/>
            <w:vAlign w:val="bottom"/>
            <w:hideMark/>
          </w:tcPr>
          <w:p w14:paraId="78079A15" w14:textId="77777777" w:rsidR="00D903A4" w:rsidRPr="00B27552" w:rsidRDefault="00D903A4" w:rsidP="00D903A4">
            <w:pPr>
              <w:spacing w:after="0" w:line="240" w:lineRule="auto"/>
              <w:jc w:val="lef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56AF0001"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249,461</w:t>
            </w:r>
          </w:p>
        </w:tc>
        <w:tc>
          <w:tcPr>
            <w:tcW w:w="198" w:type="dxa"/>
            <w:tcBorders>
              <w:top w:val="nil"/>
              <w:left w:val="nil"/>
              <w:bottom w:val="nil"/>
              <w:right w:val="nil"/>
            </w:tcBorders>
            <w:noWrap/>
            <w:vAlign w:val="bottom"/>
            <w:hideMark/>
          </w:tcPr>
          <w:p w14:paraId="12A00141"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1F5CDAC1"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311,178</w:t>
            </w:r>
          </w:p>
        </w:tc>
        <w:tc>
          <w:tcPr>
            <w:tcW w:w="198" w:type="dxa"/>
            <w:tcBorders>
              <w:top w:val="nil"/>
              <w:left w:val="nil"/>
              <w:bottom w:val="nil"/>
              <w:right w:val="nil"/>
            </w:tcBorders>
            <w:noWrap/>
            <w:vAlign w:val="bottom"/>
            <w:hideMark/>
          </w:tcPr>
          <w:p w14:paraId="4840E42C"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820" w:type="dxa"/>
            <w:tcBorders>
              <w:top w:val="nil"/>
              <w:left w:val="nil"/>
              <w:bottom w:val="nil"/>
              <w:right w:val="nil"/>
            </w:tcBorders>
            <w:noWrap/>
            <w:vAlign w:val="bottom"/>
            <w:hideMark/>
          </w:tcPr>
          <w:p w14:paraId="7C7E3F73"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24.7%</w:t>
            </w:r>
          </w:p>
        </w:tc>
      </w:tr>
      <w:tr w:rsidR="00A8494E" w:rsidRPr="00A8494E" w14:paraId="2974BEF4" w14:textId="77777777" w:rsidTr="00A8494E">
        <w:trPr>
          <w:trHeight w:val="274"/>
        </w:trPr>
        <w:tc>
          <w:tcPr>
            <w:tcW w:w="715" w:type="dxa"/>
            <w:tcBorders>
              <w:top w:val="nil"/>
              <w:left w:val="nil"/>
              <w:bottom w:val="nil"/>
              <w:right w:val="nil"/>
            </w:tcBorders>
            <w:noWrap/>
            <w:vAlign w:val="bottom"/>
            <w:hideMark/>
          </w:tcPr>
          <w:p w14:paraId="6891FDE9"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4874" w:type="dxa"/>
            <w:gridSpan w:val="2"/>
            <w:tcBorders>
              <w:top w:val="nil"/>
              <w:left w:val="nil"/>
              <w:bottom w:val="nil"/>
              <w:right w:val="nil"/>
            </w:tcBorders>
            <w:shd w:val="clear" w:color="000000" w:fill="8497B0"/>
            <w:noWrap/>
            <w:vAlign w:val="bottom"/>
            <w:hideMark/>
          </w:tcPr>
          <w:p w14:paraId="43C6AF5B"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Household typology</w:t>
            </w:r>
          </w:p>
        </w:tc>
        <w:tc>
          <w:tcPr>
            <w:tcW w:w="208" w:type="dxa"/>
            <w:tcBorders>
              <w:top w:val="nil"/>
              <w:left w:val="nil"/>
              <w:bottom w:val="nil"/>
              <w:right w:val="nil"/>
            </w:tcBorders>
            <w:shd w:val="clear" w:color="000000" w:fill="8497B0"/>
            <w:noWrap/>
            <w:vAlign w:val="bottom"/>
            <w:hideMark/>
          </w:tcPr>
          <w:p w14:paraId="38421C7D"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1636" w:type="dxa"/>
            <w:tcBorders>
              <w:top w:val="nil"/>
              <w:left w:val="nil"/>
              <w:bottom w:val="nil"/>
              <w:right w:val="nil"/>
            </w:tcBorders>
            <w:shd w:val="clear" w:color="000000" w:fill="8497B0"/>
            <w:noWrap/>
            <w:vAlign w:val="bottom"/>
            <w:hideMark/>
          </w:tcPr>
          <w:p w14:paraId="5B4BA680"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198" w:type="dxa"/>
            <w:tcBorders>
              <w:top w:val="nil"/>
              <w:left w:val="nil"/>
              <w:bottom w:val="nil"/>
              <w:right w:val="nil"/>
            </w:tcBorders>
            <w:shd w:val="clear" w:color="000000" w:fill="8497B0"/>
            <w:noWrap/>
            <w:vAlign w:val="bottom"/>
            <w:hideMark/>
          </w:tcPr>
          <w:p w14:paraId="003F5418"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1636" w:type="dxa"/>
            <w:tcBorders>
              <w:top w:val="nil"/>
              <w:left w:val="nil"/>
              <w:bottom w:val="nil"/>
              <w:right w:val="nil"/>
            </w:tcBorders>
            <w:shd w:val="clear" w:color="000000" w:fill="8497B0"/>
            <w:noWrap/>
            <w:vAlign w:val="bottom"/>
            <w:hideMark/>
          </w:tcPr>
          <w:p w14:paraId="1889DD29"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198" w:type="dxa"/>
            <w:tcBorders>
              <w:top w:val="nil"/>
              <w:left w:val="nil"/>
              <w:bottom w:val="nil"/>
              <w:right w:val="nil"/>
            </w:tcBorders>
            <w:shd w:val="clear" w:color="000000" w:fill="8497B0"/>
            <w:noWrap/>
            <w:vAlign w:val="bottom"/>
            <w:hideMark/>
          </w:tcPr>
          <w:p w14:paraId="7BF62976"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820" w:type="dxa"/>
            <w:tcBorders>
              <w:top w:val="nil"/>
              <w:left w:val="nil"/>
              <w:bottom w:val="nil"/>
              <w:right w:val="nil"/>
            </w:tcBorders>
            <w:shd w:val="clear" w:color="000000" w:fill="8497B0"/>
            <w:noWrap/>
            <w:vAlign w:val="bottom"/>
            <w:hideMark/>
          </w:tcPr>
          <w:p w14:paraId="2DA18B96"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r>
      <w:tr w:rsidR="00A8494E" w:rsidRPr="00A8494E" w14:paraId="2AC19A53" w14:textId="77777777" w:rsidTr="00A8494E">
        <w:trPr>
          <w:trHeight w:val="274"/>
        </w:trPr>
        <w:tc>
          <w:tcPr>
            <w:tcW w:w="715" w:type="dxa"/>
            <w:tcBorders>
              <w:top w:val="nil"/>
              <w:left w:val="nil"/>
              <w:bottom w:val="nil"/>
              <w:right w:val="nil"/>
            </w:tcBorders>
            <w:noWrap/>
            <w:vAlign w:val="bottom"/>
            <w:hideMark/>
          </w:tcPr>
          <w:p w14:paraId="7ECE58B9" w14:textId="77777777" w:rsidR="00D903A4" w:rsidRPr="00B27552" w:rsidRDefault="00D903A4" w:rsidP="00D903A4">
            <w:pPr>
              <w:spacing w:after="0" w:line="240" w:lineRule="auto"/>
              <w:jc w:val="left"/>
              <w:rPr>
                <w:rFonts w:ascii="Calibri" w:eastAsia="Times New Roman" w:hAnsi="Calibri" w:cs="Calibri"/>
                <w:color w:val="000000"/>
                <w:sz w:val="16"/>
                <w:szCs w:val="16"/>
              </w:rPr>
            </w:pPr>
          </w:p>
        </w:tc>
        <w:tc>
          <w:tcPr>
            <w:tcW w:w="238" w:type="dxa"/>
            <w:tcBorders>
              <w:top w:val="nil"/>
              <w:left w:val="nil"/>
              <w:bottom w:val="nil"/>
              <w:right w:val="nil"/>
            </w:tcBorders>
            <w:noWrap/>
            <w:vAlign w:val="bottom"/>
            <w:hideMark/>
          </w:tcPr>
          <w:p w14:paraId="4D2EB95A" w14:textId="77777777" w:rsidR="00D903A4" w:rsidRPr="00B27552" w:rsidRDefault="00D903A4" w:rsidP="00D903A4">
            <w:pPr>
              <w:spacing w:after="0" w:line="240" w:lineRule="auto"/>
              <w:jc w:val="left"/>
              <w:rPr>
                <w:rFonts w:ascii="Times New Roman" w:eastAsia="Times New Roman" w:hAnsi="Times New Roman" w:cs="Times New Roman"/>
                <w:sz w:val="16"/>
                <w:szCs w:val="16"/>
              </w:rPr>
            </w:pPr>
          </w:p>
        </w:tc>
        <w:tc>
          <w:tcPr>
            <w:tcW w:w="4636" w:type="dxa"/>
            <w:tcBorders>
              <w:top w:val="nil"/>
              <w:left w:val="nil"/>
              <w:bottom w:val="nil"/>
              <w:right w:val="nil"/>
            </w:tcBorders>
            <w:noWrap/>
            <w:vAlign w:val="bottom"/>
            <w:hideMark/>
          </w:tcPr>
          <w:p w14:paraId="14898D30" w14:textId="7AA95EB8"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xml:space="preserve">Couple with children </w:t>
            </w:r>
            <w:r w:rsidR="00E96281">
              <w:rPr>
                <w:rFonts w:ascii="Calibri" w:eastAsia="Times New Roman" w:hAnsi="Calibri" w:cs="Calibri"/>
                <w:color w:val="000000"/>
                <w:sz w:val="16"/>
                <w:szCs w:val="16"/>
              </w:rPr>
              <w:t>–</w:t>
            </w:r>
            <w:r w:rsidRPr="00B27552">
              <w:rPr>
                <w:rFonts w:ascii="Calibri" w:eastAsia="Times New Roman" w:hAnsi="Calibri" w:cs="Calibri"/>
                <w:color w:val="000000"/>
                <w:sz w:val="16"/>
                <w:szCs w:val="16"/>
              </w:rPr>
              <w:t xml:space="preserve"> Both work (percent of total households)</w:t>
            </w:r>
          </w:p>
        </w:tc>
        <w:tc>
          <w:tcPr>
            <w:tcW w:w="208" w:type="dxa"/>
            <w:tcBorders>
              <w:top w:val="nil"/>
              <w:left w:val="nil"/>
              <w:bottom w:val="nil"/>
              <w:right w:val="nil"/>
            </w:tcBorders>
            <w:noWrap/>
            <w:vAlign w:val="bottom"/>
            <w:hideMark/>
          </w:tcPr>
          <w:p w14:paraId="7BFA1598" w14:textId="77777777" w:rsidR="00D903A4" w:rsidRPr="00B27552" w:rsidRDefault="00D903A4" w:rsidP="00D903A4">
            <w:pPr>
              <w:spacing w:after="0" w:line="240" w:lineRule="auto"/>
              <w:jc w:val="lef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441B5A09"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19.5%</w:t>
            </w:r>
          </w:p>
        </w:tc>
        <w:tc>
          <w:tcPr>
            <w:tcW w:w="198" w:type="dxa"/>
            <w:tcBorders>
              <w:top w:val="nil"/>
              <w:left w:val="nil"/>
              <w:bottom w:val="nil"/>
              <w:right w:val="nil"/>
            </w:tcBorders>
            <w:noWrap/>
            <w:vAlign w:val="bottom"/>
            <w:hideMark/>
          </w:tcPr>
          <w:p w14:paraId="6859E1CF"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5B38BA88"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20.6%</w:t>
            </w:r>
          </w:p>
        </w:tc>
        <w:tc>
          <w:tcPr>
            <w:tcW w:w="198" w:type="dxa"/>
            <w:tcBorders>
              <w:top w:val="nil"/>
              <w:left w:val="nil"/>
              <w:bottom w:val="nil"/>
              <w:right w:val="nil"/>
            </w:tcBorders>
            <w:noWrap/>
            <w:vAlign w:val="bottom"/>
            <w:hideMark/>
          </w:tcPr>
          <w:p w14:paraId="2A58E8AC"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820" w:type="dxa"/>
            <w:tcBorders>
              <w:top w:val="nil"/>
              <w:left w:val="nil"/>
              <w:bottom w:val="nil"/>
              <w:right w:val="nil"/>
            </w:tcBorders>
            <w:noWrap/>
            <w:vAlign w:val="bottom"/>
            <w:hideMark/>
          </w:tcPr>
          <w:p w14:paraId="2FE2CC3A"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1.0 pp.</w:t>
            </w:r>
          </w:p>
        </w:tc>
      </w:tr>
      <w:tr w:rsidR="00A8494E" w:rsidRPr="00A8494E" w14:paraId="3D4BFC94" w14:textId="77777777" w:rsidTr="00A8494E">
        <w:trPr>
          <w:trHeight w:val="274"/>
        </w:trPr>
        <w:tc>
          <w:tcPr>
            <w:tcW w:w="715" w:type="dxa"/>
            <w:tcBorders>
              <w:top w:val="nil"/>
              <w:left w:val="nil"/>
              <w:bottom w:val="nil"/>
              <w:right w:val="nil"/>
            </w:tcBorders>
            <w:noWrap/>
            <w:vAlign w:val="bottom"/>
            <w:hideMark/>
          </w:tcPr>
          <w:p w14:paraId="604A200B"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238" w:type="dxa"/>
            <w:tcBorders>
              <w:top w:val="nil"/>
              <w:left w:val="nil"/>
              <w:bottom w:val="nil"/>
              <w:right w:val="nil"/>
            </w:tcBorders>
            <w:noWrap/>
            <w:vAlign w:val="bottom"/>
            <w:hideMark/>
          </w:tcPr>
          <w:p w14:paraId="16BC2130" w14:textId="77777777" w:rsidR="00D903A4" w:rsidRPr="00B27552" w:rsidRDefault="00D903A4" w:rsidP="00D903A4">
            <w:pPr>
              <w:spacing w:after="0" w:line="240" w:lineRule="auto"/>
              <w:jc w:val="left"/>
              <w:rPr>
                <w:rFonts w:ascii="Times New Roman" w:eastAsia="Times New Roman" w:hAnsi="Times New Roman" w:cs="Times New Roman"/>
                <w:sz w:val="16"/>
                <w:szCs w:val="16"/>
              </w:rPr>
            </w:pPr>
          </w:p>
        </w:tc>
        <w:tc>
          <w:tcPr>
            <w:tcW w:w="4845" w:type="dxa"/>
            <w:gridSpan w:val="2"/>
            <w:tcBorders>
              <w:top w:val="nil"/>
              <w:left w:val="nil"/>
              <w:bottom w:val="nil"/>
              <w:right w:val="nil"/>
            </w:tcBorders>
            <w:noWrap/>
            <w:vAlign w:val="bottom"/>
            <w:hideMark/>
          </w:tcPr>
          <w:p w14:paraId="4A51E416" w14:textId="79A2D73E"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xml:space="preserve">Couple with children </w:t>
            </w:r>
            <w:r w:rsidR="00E96281">
              <w:rPr>
                <w:rFonts w:ascii="Calibri" w:eastAsia="Times New Roman" w:hAnsi="Calibri" w:cs="Calibri"/>
                <w:color w:val="000000"/>
                <w:sz w:val="16"/>
                <w:szCs w:val="16"/>
              </w:rPr>
              <w:t>–</w:t>
            </w:r>
            <w:r w:rsidRPr="00B27552">
              <w:rPr>
                <w:rFonts w:ascii="Calibri" w:eastAsia="Times New Roman" w:hAnsi="Calibri" w:cs="Calibri"/>
                <w:color w:val="000000"/>
                <w:sz w:val="16"/>
                <w:szCs w:val="16"/>
              </w:rPr>
              <w:t xml:space="preserve"> Only man works (percent of total households)</w:t>
            </w:r>
          </w:p>
        </w:tc>
        <w:tc>
          <w:tcPr>
            <w:tcW w:w="1636" w:type="dxa"/>
            <w:tcBorders>
              <w:top w:val="nil"/>
              <w:left w:val="nil"/>
              <w:bottom w:val="nil"/>
              <w:right w:val="nil"/>
            </w:tcBorders>
            <w:noWrap/>
            <w:vAlign w:val="bottom"/>
            <w:hideMark/>
          </w:tcPr>
          <w:p w14:paraId="42A7FBEE"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8.5%</w:t>
            </w:r>
          </w:p>
        </w:tc>
        <w:tc>
          <w:tcPr>
            <w:tcW w:w="198" w:type="dxa"/>
            <w:tcBorders>
              <w:top w:val="nil"/>
              <w:left w:val="nil"/>
              <w:bottom w:val="nil"/>
              <w:right w:val="nil"/>
            </w:tcBorders>
            <w:noWrap/>
            <w:vAlign w:val="bottom"/>
            <w:hideMark/>
          </w:tcPr>
          <w:p w14:paraId="4178AE6E"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4DC88B0D"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7.4%</w:t>
            </w:r>
          </w:p>
        </w:tc>
        <w:tc>
          <w:tcPr>
            <w:tcW w:w="198" w:type="dxa"/>
            <w:tcBorders>
              <w:top w:val="nil"/>
              <w:left w:val="nil"/>
              <w:bottom w:val="nil"/>
              <w:right w:val="nil"/>
            </w:tcBorders>
            <w:noWrap/>
            <w:vAlign w:val="bottom"/>
            <w:hideMark/>
          </w:tcPr>
          <w:p w14:paraId="218B4A71"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820" w:type="dxa"/>
            <w:tcBorders>
              <w:top w:val="nil"/>
              <w:left w:val="nil"/>
              <w:bottom w:val="nil"/>
              <w:right w:val="nil"/>
            </w:tcBorders>
            <w:noWrap/>
            <w:vAlign w:val="bottom"/>
            <w:hideMark/>
          </w:tcPr>
          <w:p w14:paraId="77B386EC"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-1.1 pp.</w:t>
            </w:r>
          </w:p>
        </w:tc>
      </w:tr>
      <w:tr w:rsidR="00A8494E" w:rsidRPr="00A8494E" w14:paraId="40E32A56" w14:textId="77777777" w:rsidTr="00A8494E">
        <w:trPr>
          <w:trHeight w:val="274"/>
        </w:trPr>
        <w:tc>
          <w:tcPr>
            <w:tcW w:w="715" w:type="dxa"/>
            <w:tcBorders>
              <w:top w:val="nil"/>
              <w:left w:val="nil"/>
              <w:bottom w:val="nil"/>
              <w:right w:val="nil"/>
            </w:tcBorders>
            <w:noWrap/>
            <w:vAlign w:val="bottom"/>
            <w:hideMark/>
          </w:tcPr>
          <w:p w14:paraId="27258286"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238" w:type="dxa"/>
            <w:tcBorders>
              <w:top w:val="nil"/>
              <w:left w:val="nil"/>
              <w:bottom w:val="nil"/>
              <w:right w:val="nil"/>
            </w:tcBorders>
            <w:noWrap/>
            <w:vAlign w:val="bottom"/>
            <w:hideMark/>
          </w:tcPr>
          <w:p w14:paraId="650D1077" w14:textId="77777777" w:rsidR="00D903A4" w:rsidRPr="00B27552" w:rsidRDefault="00D903A4" w:rsidP="00D903A4">
            <w:pPr>
              <w:spacing w:after="0" w:line="240" w:lineRule="auto"/>
              <w:jc w:val="left"/>
              <w:rPr>
                <w:rFonts w:ascii="Times New Roman" w:eastAsia="Times New Roman" w:hAnsi="Times New Roman" w:cs="Times New Roman"/>
                <w:sz w:val="16"/>
                <w:szCs w:val="16"/>
              </w:rPr>
            </w:pPr>
          </w:p>
        </w:tc>
        <w:tc>
          <w:tcPr>
            <w:tcW w:w="4636" w:type="dxa"/>
            <w:tcBorders>
              <w:top w:val="nil"/>
              <w:left w:val="nil"/>
              <w:bottom w:val="nil"/>
              <w:right w:val="nil"/>
            </w:tcBorders>
            <w:noWrap/>
            <w:vAlign w:val="bottom"/>
            <w:hideMark/>
          </w:tcPr>
          <w:p w14:paraId="413D9181" w14:textId="61919C63"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xml:space="preserve">Couple without children </w:t>
            </w:r>
            <w:r w:rsidR="00E96281">
              <w:rPr>
                <w:rFonts w:ascii="Calibri" w:eastAsia="Times New Roman" w:hAnsi="Calibri" w:cs="Calibri"/>
                <w:color w:val="000000"/>
                <w:sz w:val="16"/>
                <w:szCs w:val="16"/>
              </w:rPr>
              <w:t>–</w:t>
            </w:r>
            <w:r w:rsidRPr="00B27552">
              <w:rPr>
                <w:rFonts w:ascii="Calibri" w:eastAsia="Times New Roman" w:hAnsi="Calibri" w:cs="Calibri"/>
                <w:color w:val="000000"/>
                <w:sz w:val="16"/>
                <w:szCs w:val="16"/>
              </w:rPr>
              <w:t xml:space="preserve"> Both work (percent of total households)</w:t>
            </w:r>
          </w:p>
        </w:tc>
        <w:tc>
          <w:tcPr>
            <w:tcW w:w="208" w:type="dxa"/>
            <w:tcBorders>
              <w:top w:val="nil"/>
              <w:left w:val="nil"/>
              <w:bottom w:val="nil"/>
              <w:right w:val="nil"/>
            </w:tcBorders>
            <w:noWrap/>
            <w:vAlign w:val="bottom"/>
            <w:hideMark/>
          </w:tcPr>
          <w:p w14:paraId="7203C765" w14:textId="77777777" w:rsidR="00D903A4" w:rsidRPr="00B27552" w:rsidRDefault="00D903A4" w:rsidP="00D903A4">
            <w:pPr>
              <w:spacing w:after="0" w:line="240" w:lineRule="auto"/>
              <w:jc w:val="lef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16055D1D"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5.5%</w:t>
            </w:r>
          </w:p>
        </w:tc>
        <w:tc>
          <w:tcPr>
            <w:tcW w:w="198" w:type="dxa"/>
            <w:tcBorders>
              <w:top w:val="nil"/>
              <w:left w:val="nil"/>
              <w:bottom w:val="nil"/>
              <w:right w:val="nil"/>
            </w:tcBorders>
            <w:noWrap/>
            <w:vAlign w:val="bottom"/>
            <w:hideMark/>
          </w:tcPr>
          <w:p w14:paraId="66D1D8E8"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1B7B1F0A"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5.7%</w:t>
            </w:r>
          </w:p>
        </w:tc>
        <w:tc>
          <w:tcPr>
            <w:tcW w:w="198" w:type="dxa"/>
            <w:tcBorders>
              <w:top w:val="nil"/>
              <w:left w:val="nil"/>
              <w:bottom w:val="nil"/>
              <w:right w:val="nil"/>
            </w:tcBorders>
            <w:noWrap/>
            <w:vAlign w:val="bottom"/>
            <w:hideMark/>
          </w:tcPr>
          <w:p w14:paraId="5D62858B"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820" w:type="dxa"/>
            <w:tcBorders>
              <w:top w:val="nil"/>
              <w:left w:val="nil"/>
              <w:bottom w:val="nil"/>
              <w:right w:val="nil"/>
            </w:tcBorders>
            <w:noWrap/>
            <w:vAlign w:val="bottom"/>
            <w:hideMark/>
          </w:tcPr>
          <w:p w14:paraId="27AA0734"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0.1 pp.</w:t>
            </w:r>
          </w:p>
        </w:tc>
      </w:tr>
      <w:tr w:rsidR="00A8494E" w:rsidRPr="00A8494E" w14:paraId="0FF07208" w14:textId="77777777" w:rsidTr="00A8494E">
        <w:trPr>
          <w:trHeight w:val="274"/>
        </w:trPr>
        <w:tc>
          <w:tcPr>
            <w:tcW w:w="715" w:type="dxa"/>
            <w:tcBorders>
              <w:top w:val="nil"/>
              <w:left w:val="nil"/>
              <w:bottom w:val="nil"/>
              <w:right w:val="nil"/>
            </w:tcBorders>
            <w:noWrap/>
            <w:vAlign w:val="bottom"/>
            <w:hideMark/>
          </w:tcPr>
          <w:p w14:paraId="65DBF3EA"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238" w:type="dxa"/>
            <w:tcBorders>
              <w:top w:val="nil"/>
              <w:left w:val="nil"/>
              <w:bottom w:val="nil"/>
              <w:right w:val="nil"/>
            </w:tcBorders>
            <w:noWrap/>
            <w:vAlign w:val="bottom"/>
            <w:hideMark/>
          </w:tcPr>
          <w:p w14:paraId="42294D92" w14:textId="77777777" w:rsidR="00D903A4" w:rsidRPr="00B27552" w:rsidRDefault="00D903A4" w:rsidP="00D903A4">
            <w:pPr>
              <w:spacing w:after="0" w:line="240" w:lineRule="auto"/>
              <w:jc w:val="left"/>
              <w:rPr>
                <w:rFonts w:ascii="Times New Roman" w:eastAsia="Times New Roman" w:hAnsi="Times New Roman" w:cs="Times New Roman"/>
                <w:sz w:val="16"/>
                <w:szCs w:val="16"/>
              </w:rPr>
            </w:pPr>
          </w:p>
        </w:tc>
        <w:tc>
          <w:tcPr>
            <w:tcW w:w="4845" w:type="dxa"/>
            <w:gridSpan w:val="2"/>
            <w:tcBorders>
              <w:top w:val="nil"/>
              <w:left w:val="nil"/>
              <w:bottom w:val="nil"/>
              <w:right w:val="nil"/>
            </w:tcBorders>
            <w:noWrap/>
            <w:vAlign w:val="bottom"/>
            <w:hideMark/>
          </w:tcPr>
          <w:p w14:paraId="4591B3A7" w14:textId="0F634322"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xml:space="preserve">Couple without children </w:t>
            </w:r>
            <w:r w:rsidR="00E96281">
              <w:rPr>
                <w:rFonts w:ascii="Calibri" w:eastAsia="Times New Roman" w:hAnsi="Calibri" w:cs="Calibri"/>
                <w:color w:val="000000"/>
                <w:sz w:val="16"/>
                <w:szCs w:val="16"/>
              </w:rPr>
              <w:t>–</w:t>
            </w:r>
            <w:r w:rsidRPr="00B27552">
              <w:rPr>
                <w:rFonts w:ascii="Calibri" w:eastAsia="Times New Roman" w:hAnsi="Calibri" w:cs="Calibri"/>
                <w:color w:val="000000"/>
                <w:sz w:val="16"/>
                <w:szCs w:val="16"/>
              </w:rPr>
              <w:t xml:space="preserve"> Only man works (percent of total households)</w:t>
            </w:r>
          </w:p>
        </w:tc>
        <w:tc>
          <w:tcPr>
            <w:tcW w:w="1636" w:type="dxa"/>
            <w:tcBorders>
              <w:top w:val="nil"/>
              <w:left w:val="nil"/>
              <w:bottom w:val="nil"/>
              <w:right w:val="nil"/>
            </w:tcBorders>
            <w:noWrap/>
            <w:vAlign w:val="bottom"/>
            <w:hideMark/>
          </w:tcPr>
          <w:p w14:paraId="01A5F0CD"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1.8%</w:t>
            </w:r>
          </w:p>
        </w:tc>
        <w:tc>
          <w:tcPr>
            <w:tcW w:w="198" w:type="dxa"/>
            <w:tcBorders>
              <w:top w:val="nil"/>
              <w:left w:val="nil"/>
              <w:bottom w:val="nil"/>
              <w:right w:val="nil"/>
            </w:tcBorders>
            <w:noWrap/>
            <w:vAlign w:val="bottom"/>
            <w:hideMark/>
          </w:tcPr>
          <w:p w14:paraId="5613A7DC"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4B1B9663"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1.7%</w:t>
            </w:r>
          </w:p>
        </w:tc>
        <w:tc>
          <w:tcPr>
            <w:tcW w:w="198" w:type="dxa"/>
            <w:tcBorders>
              <w:top w:val="nil"/>
              <w:left w:val="nil"/>
              <w:bottom w:val="nil"/>
              <w:right w:val="nil"/>
            </w:tcBorders>
            <w:noWrap/>
            <w:vAlign w:val="bottom"/>
            <w:hideMark/>
          </w:tcPr>
          <w:p w14:paraId="7C6535BE"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820" w:type="dxa"/>
            <w:tcBorders>
              <w:top w:val="nil"/>
              <w:left w:val="nil"/>
              <w:bottom w:val="nil"/>
              <w:right w:val="nil"/>
            </w:tcBorders>
            <w:noWrap/>
            <w:vAlign w:val="bottom"/>
            <w:hideMark/>
          </w:tcPr>
          <w:p w14:paraId="51CBBBCC"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-0.1 pp.</w:t>
            </w:r>
          </w:p>
        </w:tc>
      </w:tr>
      <w:tr w:rsidR="00A8494E" w:rsidRPr="00A8494E" w14:paraId="113C67E8" w14:textId="77777777" w:rsidTr="00A8494E">
        <w:trPr>
          <w:trHeight w:val="274"/>
        </w:trPr>
        <w:tc>
          <w:tcPr>
            <w:tcW w:w="715" w:type="dxa"/>
            <w:tcBorders>
              <w:top w:val="nil"/>
              <w:left w:val="nil"/>
              <w:bottom w:val="nil"/>
              <w:right w:val="nil"/>
            </w:tcBorders>
            <w:noWrap/>
            <w:vAlign w:val="bottom"/>
            <w:hideMark/>
          </w:tcPr>
          <w:p w14:paraId="1653461F"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4874" w:type="dxa"/>
            <w:gridSpan w:val="2"/>
            <w:tcBorders>
              <w:top w:val="nil"/>
              <w:left w:val="nil"/>
              <w:bottom w:val="nil"/>
              <w:right w:val="nil"/>
            </w:tcBorders>
            <w:shd w:val="clear" w:color="000000" w:fill="8497B0"/>
            <w:noWrap/>
            <w:vAlign w:val="bottom"/>
            <w:hideMark/>
          </w:tcPr>
          <w:p w14:paraId="13B5C2FE"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Gender</w:t>
            </w:r>
          </w:p>
        </w:tc>
        <w:tc>
          <w:tcPr>
            <w:tcW w:w="208" w:type="dxa"/>
            <w:tcBorders>
              <w:top w:val="nil"/>
              <w:left w:val="nil"/>
              <w:bottom w:val="nil"/>
              <w:right w:val="nil"/>
            </w:tcBorders>
            <w:shd w:val="clear" w:color="000000" w:fill="8497B0"/>
            <w:noWrap/>
            <w:vAlign w:val="bottom"/>
            <w:hideMark/>
          </w:tcPr>
          <w:p w14:paraId="3F0658CC"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1636" w:type="dxa"/>
            <w:tcBorders>
              <w:top w:val="nil"/>
              <w:left w:val="nil"/>
              <w:bottom w:val="nil"/>
              <w:right w:val="nil"/>
            </w:tcBorders>
            <w:shd w:val="clear" w:color="000000" w:fill="8497B0"/>
            <w:noWrap/>
            <w:vAlign w:val="bottom"/>
            <w:hideMark/>
          </w:tcPr>
          <w:p w14:paraId="718971BC"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198" w:type="dxa"/>
            <w:tcBorders>
              <w:top w:val="nil"/>
              <w:left w:val="nil"/>
              <w:bottom w:val="nil"/>
              <w:right w:val="nil"/>
            </w:tcBorders>
            <w:shd w:val="clear" w:color="000000" w:fill="8497B0"/>
            <w:noWrap/>
            <w:vAlign w:val="bottom"/>
            <w:hideMark/>
          </w:tcPr>
          <w:p w14:paraId="40DD1B27"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1636" w:type="dxa"/>
            <w:tcBorders>
              <w:top w:val="nil"/>
              <w:left w:val="nil"/>
              <w:bottom w:val="nil"/>
              <w:right w:val="nil"/>
            </w:tcBorders>
            <w:shd w:val="clear" w:color="000000" w:fill="8497B0"/>
            <w:noWrap/>
            <w:vAlign w:val="bottom"/>
            <w:hideMark/>
          </w:tcPr>
          <w:p w14:paraId="7D6789B2"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198" w:type="dxa"/>
            <w:tcBorders>
              <w:top w:val="nil"/>
              <w:left w:val="nil"/>
              <w:bottom w:val="nil"/>
              <w:right w:val="nil"/>
            </w:tcBorders>
            <w:shd w:val="clear" w:color="000000" w:fill="8497B0"/>
            <w:noWrap/>
            <w:vAlign w:val="bottom"/>
            <w:hideMark/>
          </w:tcPr>
          <w:p w14:paraId="081A6C66"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820" w:type="dxa"/>
            <w:tcBorders>
              <w:top w:val="nil"/>
              <w:left w:val="nil"/>
              <w:bottom w:val="nil"/>
              <w:right w:val="nil"/>
            </w:tcBorders>
            <w:shd w:val="clear" w:color="000000" w:fill="8497B0"/>
            <w:noWrap/>
            <w:vAlign w:val="bottom"/>
            <w:hideMark/>
          </w:tcPr>
          <w:p w14:paraId="78BD4CE8"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r>
      <w:tr w:rsidR="00A8494E" w:rsidRPr="00A8494E" w14:paraId="7A0EFCEF" w14:textId="77777777" w:rsidTr="00A8494E">
        <w:trPr>
          <w:trHeight w:val="274"/>
        </w:trPr>
        <w:tc>
          <w:tcPr>
            <w:tcW w:w="715" w:type="dxa"/>
            <w:tcBorders>
              <w:top w:val="nil"/>
              <w:left w:val="nil"/>
              <w:bottom w:val="nil"/>
              <w:right w:val="nil"/>
            </w:tcBorders>
            <w:noWrap/>
            <w:vAlign w:val="bottom"/>
            <w:hideMark/>
          </w:tcPr>
          <w:p w14:paraId="556ADA10" w14:textId="77777777" w:rsidR="00D903A4" w:rsidRPr="00B27552" w:rsidRDefault="00D903A4" w:rsidP="00D903A4">
            <w:pPr>
              <w:spacing w:after="0" w:line="240" w:lineRule="auto"/>
              <w:jc w:val="left"/>
              <w:rPr>
                <w:rFonts w:ascii="Calibri" w:eastAsia="Times New Roman" w:hAnsi="Calibri" w:cs="Calibri"/>
                <w:color w:val="000000"/>
                <w:sz w:val="16"/>
                <w:szCs w:val="16"/>
              </w:rPr>
            </w:pPr>
          </w:p>
        </w:tc>
        <w:tc>
          <w:tcPr>
            <w:tcW w:w="238" w:type="dxa"/>
            <w:tcBorders>
              <w:top w:val="nil"/>
              <w:left w:val="nil"/>
              <w:bottom w:val="nil"/>
              <w:right w:val="nil"/>
            </w:tcBorders>
            <w:noWrap/>
            <w:vAlign w:val="bottom"/>
            <w:hideMark/>
          </w:tcPr>
          <w:p w14:paraId="7F3C8D26" w14:textId="77777777" w:rsidR="00D903A4" w:rsidRPr="00B27552" w:rsidRDefault="00D903A4" w:rsidP="00D903A4">
            <w:pPr>
              <w:spacing w:after="0" w:line="240" w:lineRule="auto"/>
              <w:jc w:val="left"/>
              <w:rPr>
                <w:rFonts w:ascii="Times New Roman" w:eastAsia="Times New Roman" w:hAnsi="Times New Roman" w:cs="Times New Roman"/>
                <w:sz w:val="16"/>
                <w:szCs w:val="16"/>
              </w:rPr>
            </w:pPr>
          </w:p>
        </w:tc>
        <w:tc>
          <w:tcPr>
            <w:tcW w:w="4636" w:type="dxa"/>
            <w:tcBorders>
              <w:top w:val="nil"/>
              <w:left w:val="nil"/>
              <w:bottom w:val="nil"/>
              <w:right w:val="nil"/>
            </w:tcBorders>
            <w:noWrap/>
            <w:vAlign w:val="bottom"/>
            <w:hideMark/>
          </w:tcPr>
          <w:p w14:paraId="50FFD5E0" w14:textId="6F2630F2"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xml:space="preserve">Hourly male wage </w:t>
            </w:r>
            <w:r w:rsidR="00E96281">
              <w:rPr>
                <w:rFonts w:ascii="Calibri" w:eastAsia="Times New Roman" w:hAnsi="Calibri" w:cs="Calibri"/>
                <w:color w:val="000000"/>
                <w:sz w:val="16"/>
                <w:szCs w:val="16"/>
              </w:rPr>
              <w:t>–</w:t>
            </w:r>
            <w:r w:rsidRPr="00B27552">
              <w:rPr>
                <w:rFonts w:ascii="Calibri" w:eastAsia="Times New Roman" w:hAnsi="Calibri" w:cs="Calibri"/>
                <w:color w:val="000000"/>
                <w:sz w:val="16"/>
                <w:szCs w:val="16"/>
              </w:rPr>
              <w:t xml:space="preserve"> Average, from Mincer equation</w:t>
            </w:r>
          </w:p>
        </w:tc>
        <w:tc>
          <w:tcPr>
            <w:tcW w:w="208" w:type="dxa"/>
            <w:tcBorders>
              <w:top w:val="nil"/>
              <w:left w:val="nil"/>
              <w:bottom w:val="nil"/>
              <w:right w:val="nil"/>
            </w:tcBorders>
            <w:noWrap/>
            <w:vAlign w:val="bottom"/>
            <w:hideMark/>
          </w:tcPr>
          <w:p w14:paraId="01BCE1F3" w14:textId="77777777" w:rsidR="00D903A4" w:rsidRPr="00B27552" w:rsidRDefault="00D903A4" w:rsidP="00D903A4">
            <w:pPr>
              <w:spacing w:after="0" w:line="240" w:lineRule="auto"/>
              <w:jc w:val="lef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4634C626"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240.1</w:t>
            </w:r>
          </w:p>
        </w:tc>
        <w:tc>
          <w:tcPr>
            <w:tcW w:w="198" w:type="dxa"/>
            <w:tcBorders>
              <w:top w:val="nil"/>
              <w:left w:val="nil"/>
              <w:bottom w:val="nil"/>
              <w:right w:val="nil"/>
            </w:tcBorders>
            <w:noWrap/>
            <w:vAlign w:val="bottom"/>
            <w:hideMark/>
          </w:tcPr>
          <w:p w14:paraId="71A27359"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0030227C"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240.0</w:t>
            </w:r>
          </w:p>
        </w:tc>
        <w:tc>
          <w:tcPr>
            <w:tcW w:w="198" w:type="dxa"/>
            <w:tcBorders>
              <w:top w:val="nil"/>
              <w:left w:val="nil"/>
              <w:bottom w:val="nil"/>
              <w:right w:val="nil"/>
            </w:tcBorders>
            <w:noWrap/>
            <w:vAlign w:val="bottom"/>
            <w:hideMark/>
          </w:tcPr>
          <w:p w14:paraId="51A799FB"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820" w:type="dxa"/>
            <w:tcBorders>
              <w:top w:val="nil"/>
              <w:left w:val="nil"/>
              <w:bottom w:val="nil"/>
              <w:right w:val="nil"/>
            </w:tcBorders>
            <w:noWrap/>
            <w:vAlign w:val="bottom"/>
            <w:hideMark/>
          </w:tcPr>
          <w:p w14:paraId="25CB0F19" w14:textId="77777777" w:rsidR="00D903A4" w:rsidRPr="00B27552" w:rsidRDefault="00D903A4" w:rsidP="00D903A4">
            <w:pPr>
              <w:spacing w:after="0" w:line="240" w:lineRule="auto"/>
              <w:jc w:val="left"/>
              <w:rPr>
                <w:rFonts w:ascii="Times New Roman" w:eastAsia="Times New Roman" w:hAnsi="Times New Roman" w:cs="Times New Roman"/>
                <w:sz w:val="16"/>
                <w:szCs w:val="16"/>
              </w:rPr>
            </w:pPr>
          </w:p>
        </w:tc>
      </w:tr>
      <w:tr w:rsidR="00A8494E" w:rsidRPr="00A8494E" w14:paraId="6A6948C8" w14:textId="77777777" w:rsidTr="00A8494E">
        <w:trPr>
          <w:trHeight w:val="274"/>
        </w:trPr>
        <w:tc>
          <w:tcPr>
            <w:tcW w:w="715" w:type="dxa"/>
            <w:tcBorders>
              <w:top w:val="nil"/>
              <w:left w:val="nil"/>
              <w:bottom w:val="nil"/>
              <w:right w:val="nil"/>
            </w:tcBorders>
            <w:noWrap/>
            <w:vAlign w:val="bottom"/>
            <w:hideMark/>
          </w:tcPr>
          <w:p w14:paraId="2C0A4846" w14:textId="77777777" w:rsidR="00D903A4" w:rsidRPr="00B27552" w:rsidRDefault="00D903A4" w:rsidP="00D903A4">
            <w:pPr>
              <w:spacing w:after="0" w:line="240" w:lineRule="auto"/>
              <w:jc w:val="left"/>
              <w:rPr>
                <w:rFonts w:ascii="Times New Roman" w:eastAsia="Times New Roman" w:hAnsi="Times New Roman" w:cs="Times New Roman"/>
                <w:sz w:val="16"/>
                <w:szCs w:val="16"/>
              </w:rPr>
            </w:pPr>
          </w:p>
        </w:tc>
        <w:tc>
          <w:tcPr>
            <w:tcW w:w="238" w:type="dxa"/>
            <w:tcBorders>
              <w:top w:val="nil"/>
              <w:left w:val="nil"/>
              <w:bottom w:val="nil"/>
              <w:right w:val="nil"/>
            </w:tcBorders>
            <w:noWrap/>
            <w:vAlign w:val="bottom"/>
            <w:hideMark/>
          </w:tcPr>
          <w:p w14:paraId="21836B31" w14:textId="77777777" w:rsidR="00D903A4" w:rsidRPr="00B27552" w:rsidRDefault="00D903A4" w:rsidP="00D903A4">
            <w:pPr>
              <w:spacing w:after="0" w:line="240" w:lineRule="auto"/>
              <w:jc w:val="left"/>
              <w:rPr>
                <w:rFonts w:ascii="Times New Roman" w:eastAsia="Times New Roman" w:hAnsi="Times New Roman" w:cs="Times New Roman"/>
                <w:sz w:val="16"/>
                <w:szCs w:val="16"/>
              </w:rPr>
            </w:pPr>
          </w:p>
        </w:tc>
        <w:tc>
          <w:tcPr>
            <w:tcW w:w="4636" w:type="dxa"/>
            <w:tcBorders>
              <w:top w:val="nil"/>
              <w:left w:val="nil"/>
              <w:bottom w:val="nil"/>
              <w:right w:val="nil"/>
            </w:tcBorders>
            <w:noWrap/>
            <w:vAlign w:val="bottom"/>
            <w:hideMark/>
          </w:tcPr>
          <w:p w14:paraId="49B3EE66" w14:textId="0DE5E96A"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xml:space="preserve">Hourly female wage </w:t>
            </w:r>
            <w:r w:rsidR="00E96281">
              <w:rPr>
                <w:rFonts w:ascii="Calibri" w:eastAsia="Times New Roman" w:hAnsi="Calibri" w:cs="Calibri"/>
                <w:color w:val="000000"/>
                <w:sz w:val="16"/>
                <w:szCs w:val="16"/>
              </w:rPr>
              <w:t>–</w:t>
            </w:r>
            <w:r w:rsidRPr="00B27552">
              <w:rPr>
                <w:rFonts w:ascii="Calibri" w:eastAsia="Times New Roman" w:hAnsi="Calibri" w:cs="Calibri"/>
                <w:color w:val="000000"/>
                <w:sz w:val="16"/>
                <w:szCs w:val="16"/>
              </w:rPr>
              <w:t xml:space="preserve"> Average, from Mincer equation</w:t>
            </w:r>
          </w:p>
        </w:tc>
        <w:tc>
          <w:tcPr>
            <w:tcW w:w="208" w:type="dxa"/>
            <w:tcBorders>
              <w:top w:val="nil"/>
              <w:left w:val="nil"/>
              <w:bottom w:val="nil"/>
              <w:right w:val="nil"/>
            </w:tcBorders>
            <w:noWrap/>
            <w:vAlign w:val="bottom"/>
            <w:hideMark/>
          </w:tcPr>
          <w:p w14:paraId="16CD905B" w14:textId="77777777" w:rsidR="00D903A4" w:rsidRPr="00B27552" w:rsidRDefault="00D903A4" w:rsidP="00D903A4">
            <w:pPr>
              <w:spacing w:after="0" w:line="240" w:lineRule="auto"/>
              <w:jc w:val="lef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6727A99B"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228.3</w:t>
            </w:r>
          </w:p>
        </w:tc>
        <w:tc>
          <w:tcPr>
            <w:tcW w:w="198" w:type="dxa"/>
            <w:tcBorders>
              <w:top w:val="nil"/>
              <w:left w:val="nil"/>
              <w:bottom w:val="nil"/>
              <w:right w:val="nil"/>
            </w:tcBorders>
            <w:noWrap/>
            <w:vAlign w:val="bottom"/>
            <w:hideMark/>
          </w:tcPr>
          <w:p w14:paraId="77A28223"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306768F5"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226.9</w:t>
            </w:r>
          </w:p>
        </w:tc>
        <w:tc>
          <w:tcPr>
            <w:tcW w:w="198" w:type="dxa"/>
            <w:tcBorders>
              <w:top w:val="nil"/>
              <w:left w:val="nil"/>
              <w:bottom w:val="nil"/>
              <w:right w:val="nil"/>
            </w:tcBorders>
            <w:noWrap/>
            <w:vAlign w:val="bottom"/>
            <w:hideMark/>
          </w:tcPr>
          <w:p w14:paraId="0A325CBE"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820" w:type="dxa"/>
            <w:tcBorders>
              <w:top w:val="nil"/>
              <w:left w:val="nil"/>
              <w:bottom w:val="nil"/>
              <w:right w:val="nil"/>
            </w:tcBorders>
            <w:noWrap/>
            <w:vAlign w:val="bottom"/>
            <w:hideMark/>
          </w:tcPr>
          <w:p w14:paraId="491CA16A" w14:textId="77777777" w:rsidR="00D903A4" w:rsidRPr="00B27552" w:rsidRDefault="00D903A4" w:rsidP="00D903A4">
            <w:pPr>
              <w:spacing w:after="0" w:line="240" w:lineRule="auto"/>
              <w:jc w:val="left"/>
              <w:rPr>
                <w:rFonts w:ascii="Times New Roman" w:eastAsia="Times New Roman" w:hAnsi="Times New Roman" w:cs="Times New Roman"/>
                <w:sz w:val="16"/>
                <w:szCs w:val="16"/>
              </w:rPr>
            </w:pPr>
          </w:p>
        </w:tc>
      </w:tr>
      <w:tr w:rsidR="00A8494E" w:rsidRPr="00A8494E" w14:paraId="1DB13AE3" w14:textId="77777777" w:rsidTr="00A8494E">
        <w:trPr>
          <w:trHeight w:val="274"/>
        </w:trPr>
        <w:tc>
          <w:tcPr>
            <w:tcW w:w="715" w:type="dxa"/>
            <w:tcBorders>
              <w:top w:val="nil"/>
              <w:left w:val="nil"/>
              <w:bottom w:val="nil"/>
              <w:right w:val="nil"/>
            </w:tcBorders>
            <w:noWrap/>
            <w:vAlign w:val="bottom"/>
            <w:hideMark/>
          </w:tcPr>
          <w:p w14:paraId="641A025C" w14:textId="77777777" w:rsidR="00D903A4" w:rsidRPr="00B27552" w:rsidRDefault="00D903A4" w:rsidP="00D903A4">
            <w:pPr>
              <w:spacing w:after="0" w:line="240" w:lineRule="auto"/>
              <w:jc w:val="left"/>
              <w:rPr>
                <w:rFonts w:ascii="Times New Roman" w:eastAsia="Times New Roman" w:hAnsi="Times New Roman" w:cs="Times New Roman"/>
                <w:sz w:val="16"/>
                <w:szCs w:val="16"/>
              </w:rPr>
            </w:pPr>
          </w:p>
        </w:tc>
        <w:tc>
          <w:tcPr>
            <w:tcW w:w="238" w:type="dxa"/>
            <w:tcBorders>
              <w:top w:val="nil"/>
              <w:left w:val="nil"/>
              <w:bottom w:val="nil"/>
              <w:right w:val="nil"/>
            </w:tcBorders>
            <w:noWrap/>
            <w:vAlign w:val="bottom"/>
            <w:hideMark/>
          </w:tcPr>
          <w:p w14:paraId="54D97E3A" w14:textId="77777777" w:rsidR="00D903A4" w:rsidRPr="00B27552" w:rsidRDefault="00D903A4" w:rsidP="00D903A4">
            <w:pPr>
              <w:spacing w:after="0" w:line="240" w:lineRule="auto"/>
              <w:jc w:val="left"/>
              <w:rPr>
                <w:rFonts w:ascii="Times New Roman" w:eastAsia="Times New Roman" w:hAnsi="Times New Roman" w:cs="Times New Roman"/>
                <w:sz w:val="16"/>
                <w:szCs w:val="16"/>
              </w:rPr>
            </w:pPr>
          </w:p>
        </w:tc>
        <w:tc>
          <w:tcPr>
            <w:tcW w:w="4636" w:type="dxa"/>
            <w:tcBorders>
              <w:top w:val="nil"/>
              <w:left w:val="nil"/>
              <w:bottom w:val="nil"/>
              <w:right w:val="nil"/>
            </w:tcBorders>
            <w:noWrap/>
            <w:vAlign w:val="bottom"/>
            <w:hideMark/>
          </w:tcPr>
          <w:p w14:paraId="36CC6C1C" w14:textId="3038C759"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xml:space="preserve">Gender income gap </w:t>
            </w:r>
            <w:r w:rsidR="00E96281">
              <w:rPr>
                <w:rFonts w:ascii="Calibri" w:eastAsia="Times New Roman" w:hAnsi="Calibri" w:cs="Calibri"/>
                <w:color w:val="000000"/>
                <w:sz w:val="16"/>
                <w:szCs w:val="16"/>
              </w:rPr>
              <w:t>–</w:t>
            </w:r>
            <w:r w:rsidRPr="00B27552">
              <w:rPr>
                <w:rFonts w:ascii="Calibri" w:eastAsia="Times New Roman" w:hAnsi="Calibri" w:cs="Calibri"/>
                <w:color w:val="000000"/>
                <w:sz w:val="16"/>
                <w:szCs w:val="16"/>
              </w:rPr>
              <w:t xml:space="preserve"> Market income</w:t>
            </w:r>
          </w:p>
        </w:tc>
        <w:tc>
          <w:tcPr>
            <w:tcW w:w="208" w:type="dxa"/>
            <w:tcBorders>
              <w:top w:val="nil"/>
              <w:left w:val="nil"/>
              <w:bottom w:val="nil"/>
              <w:right w:val="nil"/>
            </w:tcBorders>
            <w:noWrap/>
            <w:vAlign w:val="bottom"/>
            <w:hideMark/>
          </w:tcPr>
          <w:p w14:paraId="5B5C3D5F" w14:textId="77777777" w:rsidR="00D903A4" w:rsidRPr="00B27552" w:rsidRDefault="00D903A4" w:rsidP="00D903A4">
            <w:pPr>
              <w:spacing w:after="0" w:line="240" w:lineRule="auto"/>
              <w:jc w:val="lef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7CAB3F1F"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95.1%</w:t>
            </w:r>
          </w:p>
        </w:tc>
        <w:tc>
          <w:tcPr>
            <w:tcW w:w="198" w:type="dxa"/>
            <w:tcBorders>
              <w:top w:val="nil"/>
              <w:left w:val="nil"/>
              <w:bottom w:val="nil"/>
              <w:right w:val="nil"/>
            </w:tcBorders>
            <w:noWrap/>
            <w:vAlign w:val="bottom"/>
            <w:hideMark/>
          </w:tcPr>
          <w:p w14:paraId="50A191C1"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61617EF0"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94.6%</w:t>
            </w:r>
          </w:p>
        </w:tc>
        <w:tc>
          <w:tcPr>
            <w:tcW w:w="198" w:type="dxa"/>
            <w:tcBorders>
              <w:top w:val="nil"/>
              <w:left w:val="nil"/>
              <w:bottom w:val="nil"/>
              <w:right w:val="nil"/>
            </w:tcBorders>
            <w:noWrap/>
            <w:vAlign w:val="bottom"/>
            <w:hideMark/>
          </w:tcPr>
          <w:p w14:paraId="744FB79E"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820" w:type="dxa"/>
            <w:tcBorders>
              <w:top w:val="nil"/>
              <w:left w:val="nil"/>
              <w:bottom w:val="nil"/>
              <w:right w:val="nil"/>
            </w:tcBorders>
            <w:noWrap/>
            <w:vAlign w:val="bottom"/>
            <w:hideMark/>
          </w:tcPr>
          <w:p w14:paraId="314420F6"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-0.5 pp.</w:t>
            </w:r>
          </w:p>
        </w:tc>
      </w:tr>
      <w:tr w:rsidR="00A8494E" w:rsidRPr="00A8494E" w14:paraId="5F7A9F0D" w14:textId="77777777" w:rsidTr="00A8494E">
        <w:trPr>
          <w:trHeight w:val="274"/>
        </w:trPr>
        <w:tc>
          <w:tcPr>
            <w:tcW w:w="715" w:type="dxa"/>
            <w:tcBorders>
              <w:top w:val="nil"/>
              <w:left w:val="nil"/>
              <w:bottom w:val="nil"/>
              <w:right w:val="nil"/>
            </w:tcBorders>
            <w:noWrap/>
            <w:vAlign w:val="bottom"/>
            <w:hideMark/>
          </w:tcPr>
          <w:p w14:paraId="332CCED0"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238" w:type="dxa"/>
            <w:tcBorders>
              <w:top w:val="nil"/>
              <w:left w:val="nil"/>
              <w:bottom w:val="nil"/>
              <w:right w:val="nil"/>
            </w:tcBorders>
            <w:noWrap/>
            <w:vAlign w:val="bottom"/>
            <w:hideMark/>
          </w:tcPr>
          <w:p w14:paraId="5906CBD1" w14:textId="77777777" w:rsidR="00D903A4" w:rsidRPr="00B27552" w:rsidRDefault="00D903A4" w:rsidP="00D903A4">
            <w:pPr>
              <w:spacing w:after="0" w:line="240" w:lineRule="auto"/>
              <w:jc w:val="left"/>
              <w:rPr>
                <w:rFonts w:ascii="Times New Roman" w:eastAsia="Times New Roman" w:hAnsi="Times New Roman" w:cs="Times New Roman"/>
                <w:sz w:val="16"/>
                <w:szCs w:val="16"/>
              </w:rPr>
            </w:pPr>
          </w:p>
        </w:tc>
        <w:tc>
          <w:tcPr>
            <w:tcW w:w="4636" w:type="dxa"/>
            <w:tcBorders>
              <w:top w:val="nil"/>
              <w:left w:val="nil"/>
              <w:bottom w:val="nil"/>
              <w:right w:val="nil"/>
            </w:tcBorders>
            <w:noWrap/>
            <w:vAlign w:val="bottom"/>
            <w:hideMark/>
          </w:tcPr>
          <w:p w14:paraId="74C5EAFD" w14:textId="17C2F252"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xml:space="preserve">Adjusted hourly female wage </w:t>
            </w:r>
            <w:r w:rsidR="00E96281">
              <w:rPr>
                <w:rFonts w:ascii="Calibri" w:eastAsia="Times New Roman" w:hAnsi="Calibri" w:cs="Calibri"/>
                <w:color w:val="000000"/>
                <w:sz w:val="16"/>
                <w:szCs w:val="16"/>
              </w:rPr>
              <w:t>–</w:t>
            </w:r>
            <w:r w:rsidRPr="00B27552">
              <w:rPr>
                <w:rFonts w:ascii="Calibri" w:eastAsia="Times New Roman" w:hAnsi="Calibri" w:cs="Calibri"/>
                <w:color w:val="000000"/>
                <w:sz w:val="16"/>
                <w:szCs w:val="16"/>
              </w:rPr>
              <w:t xml:space="preserve"> Average, from Mincer equation</w:t>
            </w:r>
          </w:p>
        </w:tc>
        <w:tc>
          <w:tcPr>
            <w:tcW w:w="208" w:type="dxa"/>
            <w:tcBorders>
              <w:top w:val="nil"/>
              <w:left w:val="nil"/>
              <w:bottom w:val="nil"/>
              <w:right w:val="nil"/>
            </w:tcBorders>
            <w:noWrap/>
            <w:vAlign w:val="bottom"/>
            <w:hideMark/>
          </w:tcPr>
          <w:p w14:paraId="67D4D27C" w14:textId="77777777" w:rsidR="00D903A4" w:rsidRPr="00B27552" w:rsidRDefault="00D903A4" w:rsidP="00D903A4">
            <w:pPr>
              <w:spacing w:after="0" w:line="240" w:lineRule="auto"/>
              <w:jc w:val="lef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6A9BD282"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261.2</w:t>
            </w:r>
          </w:p>
        </w:tc>
        <w:tc>
          <w:tcPr>
            <w:tcW w:w="198" w:type="dxa"/>
            <w:tcBorders>
              <w:top w:val="nil"/>
              <w:left w:val="nil"/>
              <w:bottom w:val="nil"/>
              <w:right w:val="nil"/>
            </w:tcBorders>
            <w:noWrap/>
            <w:vAlign w:val="bottom"/>
            <w:hideMark/>
          </w:tcPr>
          <w:p w14:paraId="76E7C1E7"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3406C4B6"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260.4</w:t>
            </w:r>
          </w:p>
        </w:tc>
        <w:tc>
          <w:tcPr>
            <w:tcW w:w="198" w:type="dxa"/>
            <w:tcBorders>
              <w:top w:val="nil"/>
              <w:left w:val="nil"/>
              <w:bottom w:val="nil"/>
              <w:right w:val="nil"/>
            </w:tcBorders>
            <w:noWrap/>
            <w:vAlign w:val="bottom"/>
            <w:hideMark/>
          </w:tcPr>
          <w:p w14:paraId="02B55575"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820" w:type="dxa"/>
            <w:tcBorders>
              <w:top w:val="nil"/>
              <w:left w:val="nil"/>
              <w:bottom w:val="nil"/>
              <w:right w:val="nil"/>
            </w:tcBorders>
            <w:noWrap/>
            <w:vAlign w:val="bottom"/>
            <w:hideMark/>
          </w:tcPr>
          <w:p w14:paraId="019C2D18" w14:textId="77777777" w:rsidR="00D903A4" w:rsidRPr="00B27552" w:rsidRDefault="00D903A4" w:rsidP="00D903A4">
            <w:pPr>
              <w:spacing w:after="0" w:line="240" w:lineRule="auto"/>
              <w:jc w:val="left"/>
              <w:rPr>
                <w:rFonts w:ascii="Times New Roman" w:eastAsia="Times New Roman" w:hAnsi="Times New Roman" w:cs="Times New Roman"/>
                <w:sz w:val="16"/>
                <w:szCs w:val="16"/>
              </w:rPr>
            </w:pPr>
          </w:p>
        </w:tc>
      </w:tr>
      <w:tr w:rsidR="00A8494E" w:rsidRPr="00A8494E" w14:paraId="034E63C9" w14:textId="77777777" w:rsidTr="00A8494E">
        <w:trPr>
          <w:trHeight w:val="274"/>
        </w:trPr>
        <w:tc>
          <w:tcPr>
            <w:tcW w:w="715" w:type="dxa"/>
            <w:tcBorders>
              <w:top w:val="nil"/>
              <w:left w:val="nil"/>
              <w:bottom w:val="nil"/>
              <w:right w:val="nil"/>
            </w:tcBorders>
            <w:noWrap/>
            <w:vAlign w:val="bottom"/>
            <w:hideMark/>
          </w:tcPr>
          <w:p w14:paraId="7E34A26F" w14:textId="77777777" w:rsidR="00D903A4" w:rsidRPr="00B27552" w:rsidRDefault="00D903A4" w:rsidP="00D903A4">
            <w:pPr>
              <w:spacing w:after="0" w:line="240" w:lineRule="auto"/>
              <w:jc w:val="left"/>
              <w:rPr>
                <w:rFonts w:ascii="Times New Roman" w:eastAsia="Times New Roman" w:hAnsi="Times New Roman" w:cs="Times New Roman"/>
                <w:sz w:val="16"/>
                <w:szCs w:val="16"/>
              </w:rPr>
            </w:pPr>
          </w:p>
        </w:tc>
        <w:tc>
          <w:tcPr>
            <w:tcW w:w="238" w:type="dxa"/>
            <w:tcBorders>
              <w:top w:val="nil"/>
              <w:left w:val="nil"/>
              <w:bottom w:val="nil"/>
              <w:right w:val="nil"/>
            </w:tcBorders>
            <w:noWrap/>
            <w:vAlign w:val="bottom"/>
            <w:hideMark/>
          </w:tcPr>
          <w:p w14:paraId="44487EED" w14:textId="77777777" w:rsidR="00D903A4" w:rsidRPr="00B27552" w:rsidRDefault="00D903A4" w:rsidP="00D903A4">
            <w:pPr>
              <w:spacing w:after="0" w:line="240" w:lineRule="auto"/>
              <w:jc w:val="left"/>
              <w:rPr>
                <w:rFonts w:ascii="Times New Roman" w:eastAsia="Times New Roman" w:hAnsi="Times New Roman" w:cs="Times New Roman"/>
                <w:sz w:val="16"/>
                <w:szCs w:val="16"/>
              </w:rPr>
            </w:pPr>
          </w:p>
        </w:tc>
        <w:tc>
          <w:tcPr>
            <w:tcW w:w="4636" w:type="dxa"/>
            <w:tcBorders>
              <w:top w:val="nil"/>
              <w:left w:val="nil"/>
              <w:bottom w:val="nil"/>
              <w:right w:val="nil"/>
            </w:tcBorders>
            <w:noWrap/>
            <w:vAlign w:val="bottom"/>
            <w:hideMark/>
          </w:tcPr>
          <w:p w14:paraId="2C3A14A7" w14:textId="4F9D5D65"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xml:space="preserve">Hourly female wage compared </w:t>
            </w:r>
            <w:r w:rsidR="00E96281">
              <w:rPr>
                <w:rFonts w:ascii="Calibri" w:eastAsia="Times New Roman" w:hAnsi="Calibri" w:cs="Calibri"/>
                <w:color w:val="000000"/>
                <w:sz w:val="16"/>
                <w:szCs w:val="16"/>
              </w:rPr>
              <w:t>–</w:t>
            </w:r>
            <w:r w:rsidRPr="00B27552">
              <w:rPr>
                <w:rFonts w:ascii="Calibri" w:eastAsia="Times New Roman" w:hAnsi="Calibri" w:cs="Calibri"/>
                <w:color w:val="000000"/>
                <w:sz w:val="16"/>
                <w:szCs w:val="16"/>
              </w:rPr>
              <w:t xml:space="preserve"> Observed vs. adjusted</w:t>
            </w:r>
          </w:p>
        </w:tc>
        <w:tc>
          <w:tcPr>
            <w:tcW w:w="208" w:type="dxa"/>
            <w:tcBorders>
              <w:top w:val="nil"/>
              <w:left w:val="nil"/>
              <w:bottom w:val="nil"/>
              <w:right w:val="nil"/>
            </w:tcBorders>
            <w:noWrap/>
            <w:vAlign w:val="bottom"/>
            <w:hideMark/>
          </w:tcPr>
          <w:p w14:paraId="4B371A3E" w14:textId="77777777" w:rsidR="00D903A4" w:rsidRPr="00B27552" w:rsidRDefault="00D903A4" w:rsidP="00D903A4">
            <w:pPr>
              <w:spacing w:after="0" w:line="240" w:lineRule="auto"/>
              <w:jc w:val="lef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1BF6929E"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87.4%</w:t>
            </w:r>
          </w:p>
        </w:tc>
        <w:tc>
          <w:tcPr>
            <w:tcW w:w="198" w:type="dxa"/>
            <w:tcBorders>
              <w:top w:val="nil"/>
              <w:left w:val="nil"/>
              <w:bottom w:val="nil"/>
              <w:right w:val="nil"/>
            </w:tcBorders>
            <w:noWrap/>
            <w:vAlign w:val="bottom"/>
            <w:hideMark/>
          </w:tcPr>
          <w:p w14:paraId="5D6385EC"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4E15965C"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87.1%</w:t>
            </w:r>
          </w:p>
        </w:tc>
        <w:tc>
          <w:tcPr>
            <w:tcW w:w="198" w:type="dxa"/>
            <w:tcBorders>
              <w:top w:val="nil"/>
              <w:left w:val="nil"/>
              <w:bottom w:val="nil"/>
              <w:right w:val="nil"/>
            </w:tcBorders>
            <w:noWrap/>
            <w:vAlign w:val="bottom"/>
            <w:hideMark/>
          </w:tcPr>
          <w:p w14:paraId="2D362948"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820" w:type="dxa"/>
            <w:tcBorders>
              <w:top w:val="nil"/>
              <w:left w:val="nil"/>
              <w:bottom w:val="nil"/>
              <w:right w:val="nil"/>
            </w:tcBorders>
            <w:noWrap/>
            <w:vAlign w:val="bottom"/>
            <w:hideMark/>
          </w:tcPr>
          <w:p w14:paraId="11DA6B2D"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-0.3 pp.</w:t>
            </w:r>
          </w:p>
        </w:tc>
      </w:tr>
      <w:tr w:rsidR="00A8494E" w:rsidRPr="00A8494E" w14:paraId="62DA578E" w14:textId="77777777" w:rsidTr="00A8494E">
        <w:trPr>
          <w:trHeight w:val="274"/>
        </w:trPr>
        <w:tc>
          <w:tcPr>
            <w:tcW w:w="715" w:type="dxa"/>
            <w:tcBorders>
              <w:top w:val="nil"/>
              <w:left w:val="nil"/>
              <w:bottom w:val="nil"/>
              <w:right w:val="nil"/>
            </w:tcBorders>
            <w:noWrap/>
            <w:vAlign w:val="bottom"/>
            <w:hideMark/>
          </w:tcPr>
          <w:p w14:paraId="7156BF9A"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4874" w:type="dxa"/>
            <w:gridSpan w:val="2"/>
            <w:tcBorders>
              <w:top w:val="nil"/>
              <w:left w:val="nil"/>
              <w:bottom w:val="nil"/>
              <w:right w:val="nil"/>
            </w:tcBorders>
            <w:shd w:val="clear" w:color="000000" w:fill="8497B0"/>
            <w:noWrap/>
            <w:vAlign w:val="bottom"/>
            <w:hideMark/>
          </w:tcPr>
          <w:p w14:paraId="28016FE2"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Poverty</w:t>
            </w:r>
          </w:p>
        </w:tc>
        <w:tc>
          <w:tcPr>
            <w:tcW w:w="208" w:type="dxa"/>
            <w:tcBorders>
              <w:top w:val="nil"/>
              <w:left w:val="nil"/>
              <w:bottom w:val="nil"/>
              <w:right w:val="nil"/>
            </w:tcBorders>
            <w:shd w:val="clear" w:color="000000" w:fill="8497B0"/>
            <w:noWrap/>
            <w:vAlign w:val="bottom"/>
            <w:hideMark/>
          </w:tcPr>
          <w:p w14:paraId="5A2E0219"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1636" w:type="dxa"/>
            <w:tcBorders>
              <w:top w:val="nil"/>
              <w:left w:val="nil"/>
              <w:bottom w:val="nil"/>
              <w:right w:val="nil"/>
            </w:tcBorders>
            <w:shd w:val="clear" w:color="000000" w:fill="8497B0"/>
            <w:noWrap/>
            <w:vAlign w:val="bottom"/>
            <w:hideMark/>
          </w:tcPr>
          <w:p w14:paraId="3213607C"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198" w:type="dxa"/>
            <w:tcBorders>
              <w:top w:val="nil"/>
              <w:left w:val="nil"/>
              <w:bottom w:val="nil"/>
              <w:right w:val="nil"/>
            </w:tcBorders>
            <w:shd w:val="clear" w:color="000000" w:fill="8497B0"/>
            <w:noWrap/>
            <w:vAlign w:val="bottom"/>
            <w:hideMark/>
          </w:tcPr>
          <w:p w14:paraId="2C694200"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1636" w:type="dxa"/>
            <w:tcBorders>
              <w:top w:val="nil"/>
              <w:left w:val="nil"/>
              <w:bottom w:val="nil"/>
              <w:right w:val="nil"/>
            </w:tcBorders>
            <w:shd w:val="clear" w:color="000000" w:fill="8497B0"/>
            <w:noWrap/>
            <w:vAlign w:val="bottom"/>
            <w:hideMark/>
          </w:tcPr>
          <w:p w14:paraId="5D15C261"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198" w:type="dxa"/>
            <w:tcBorders>
              <w:top w:val="nil"/>
              <w:left w:val="nil"/>
              <w:bottom w:val="nil"/>
              <w:right w:val="nil"/>
            </w:tcBorders>
            <w:shd w:val="clear" w:color="000000" w:fill="8497B0"/>
            <w:noWrap/>
            <w:vAlign w:val="bottom"/>
            <w:hideMark/>
          </w:tcPr>
          <w:p w14:paraId="26CEEEE9"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820" w:type="dxa"/>
            <w:tcBorders>
              <w:top w:val="nil"/>
              <w:left w:val="nil"/>
              <w:bottom w:val="nil"/>
              <w:right w:val="nil"/>
            </w:tcBorders>
            <w:shd w:val="clear" w:color="000000" w:fill="8497B0"/>
            <w:noWrap/>
            <w:vAlign w:val="bottom"/>
            <w:hideMark/>
          </w:tcPr>
          <w:p w14:paraId="6BB03B28"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r>
      <w:tr w:rsidR="00A8494E" w:rsidRPr="00A8494E" w14:paraId="309FFD74" w14:textId="77777777" w:rsidTr="00A8494E">
        <w:trPr>
          <w:trHeight w:val="274"/>
        </w:trPr>
        <w:tc>
          <w:tcPr>
            <w:tcW w:w="715" w:type="dxa"/>
            <w:tcBorders>
              <w:top w:val="nil"/>
              <w:left w:val="nil"/>
              <w:bottom w:val="nil"/>
              <w:right w:val="nil"/>
            </w:tcBorders>
            <w:noWrap/>
            <w:vAlign w:val="bottom"/>
            <w:hideMark/>
          </w:tcPr>
          <w:p w14:paraId="6D5DBD52" w14:textId="77777777" w:rsidR="00D903A4" w:rsidRPr="00B27552" w:rsidRDefault="00D903A4" w:rsidP="00D903A4">
            <w:pPr>
              <w:spacing w:after="0" w:line="240" w:lineRule="auto"/>
              <w:jc w:val="left"/>
              <w:rPr>
                <w:rFonts w:ascii="Calibri" w:eastAsia="Times New Roman" w:hAnsi="Calibri" w:cs="Calibri"/>
                <w:color w:val="000000"/>
                <w:sz w:val="16"/>
                <w:szCs w:val="16"/>
              </w:rPr>
            </w:pPr>
          </w:p>
        </w:tc>
        <w:tc>
          <w:tcPr>
            <w:tcW w:w="238" w:type="dxa"/>
            <w:tcBorders>
              <w:top w:val="nil"/>
              <w:left w:val="nil"/>
              <w:bottom w:val="nil"/>
              <w:right w:val="nil"/>
            </w:tcBorders>
            <w:noWrap/>
            <w:vAlign w:val="bottom"/>
            <w:hideMark/>
          </w:tcPr>
          <w:p w14:paraId="4034F1B8" w14:textId="77777777" w:rsidR="00D903A4" w:rsidRPr="00B27552" w:rsidRDefault="00D903A4" w:rsidP="00D903A4">
            <w:pPr>
              <w:spacing w:after="0" w:line="240" w:lineRule="auto"/>
              <w:jc w:val="left"/>
              <w:rPr>
                <w:rFonts w:ascii="Times New Roman" w:eastAsia="Times New Roman" w:hAnsi="Times New Roman" w:cs="Times New Roman"/>
                <w:sz w:val="16"/>
                <w:szCs w:val="16"/>
              </w:rPr>
            </w:pPr>
          </w:p>
        </w:tc>
        <w:tc>
          <w:tcPr>
            <w:tcW w:w="4636" w:type="dxa"/>
            <w:tcBorders>
              <w:top w:val="nil"/>
              <w:left w:val="nil"/>
              <w:bottom w:val="nil"/>
              <w:right w:val="nil"/>
            </w:tcBorders>
            <w:noWrap/>
            <w:vAlign w:val="bottom"/>
            <w:hideMark/>
          </w:tcPr>
          <w:p w14:paraId="4A29EE4B" w14:textId="2FB11B28"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xml:space="preserve">Poverty headcount rate among impacted HHs </w:t>
            </w:r>
            <w:r w:rsidR="00E96281">
              <w:rPr>
                <w:rFonts w:ascii="Calibri" w:eastAsia="Times New Roman" w:hAnsi="Calibri" w:cs="Calibri"/>
                <w:color w:val="000000"/>
                <w:sz w:val="16"/>
                <w:szCs w:val="16"/>
              </w:rPr>
              <w:t>–</w:t>
            </w:r>
            <w:r w:rsidRPr="00B27552">
              <w:rPr>
                <w:rFonts w:ascii="Calibri" w:eastAsia="Times New Roman" w:hAnsi="Calibri" w:cs="Calibri"/>
                <w:color w:val="000000"/>
                <w:sz w:val="16"/>
                <w:szCs w:val="16"/>
              </w:rPr>
              <w:t xml:space="preserve"> Market income</w:t>
            </w:r>
          </w:p>
        </w:tc>
        <w:tc>
          <w:tcPr>
            <w:tcW w:w="208" w:type="dxa"/>
            <w:tcBorders>
              <w:top w:val="nil"/>
              <w:left w:val="nil"/>
              <w:bottom w:val="nil"/>
              <w:right w:val="nil"/>
            </w:tcBorders>
            <w:noWrap/>
            <w:vAlign w:val="bottom"/>
            <w:hideMark/>
          </w:tcPr>
          <w:p w14:paraId="45A793E7" w14:textId="77777777" w:rsidR="00D903A4" w:rsidRPr="00B27552" w:rsidRDefault="00D903A4" w:rsidP="00D903A4">
            <w:pPr>
              <w:spacing w:after="0" w:line="240" w:lineRule="auto"/>
              <w:jc w:val="lef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48E1EAE5"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17.2%</w:t>
            </w:r>
          </w:p>
        </w:tc>
        <w:tc>
          <w:tcPr>
            <w:tcW w:w="198" w:type="dxa"/>
            <w:tcBorders>
              <w:top w:val="nil"/>
              <w:left w:val="nil"/>
              <w:bottom w:val="nil"/>
              <w:right w:val="nil"/>
            </w:tcBorders>
            <w:noWrap/>
            <w:vAlign w:val="bottom"/>
            <w:hideMark/>
          </w:tcPr>
          <w:p w14:paraId="1DFD3533"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15EEAF7C"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8.3%</w:t>
            </w:r>
          </w:p>
        </w:tc>
        <w:tc>
          <w:tcPr>
            <w:tcW w:w="198" w:type="dxa"/>
            <w:tcBorders>
              <w:top w:val="nil"/>
              <w:left w:val="nil"/>
              <w:bottom w:val="nil"/>
              <w:right w:val="nil"/>
            </w:tcBorders>
            <w:noWrap/>
            <w:vAlign w:val="bottom"/>
            <w:hideMark/>
          </w:tcPr>
          <w:p w14:paraId="00CEE63E"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820" w:type="dxa"/>
            <w:tcBorders>
              <w:top w:val="nil"/>
              <w:left w:val="nil"/>
              <w:bottom w:val="nil"/>
              <w:right w:val="nil"/>
            </w:tcBorders>
            <w:noWrap/>
            <w:vAlign w:val="bottom"/>
            <w:hideMark/>
          </w:tcPr>
          <w:p w14:paraId="1C6382DC"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-8.9 pp.</w:t>
            </w:r>
          </w:p>
        </w:tc>
      </w:tr>
      <w:tr w:rsidR="00A8494E" w:rsidRPr="00A8494E" w14:paraId="53D509DA" w14:textId="77777777" w:rsidTr="00A8494E">
        <w:trPr>
          <w:trHeight w:val="274"/>
        </w:trPr>
        <w:tc>
          <w:tcPr>
            <w:tcW w:w="715" w:type="dxa"/>
            <w:tcBorders>
              <w:top w:val="nil"/>
              <w:left w:val="nil"/>
              <w:bottom w:val="nil"/>
              <w:right w:val="nil"/>
            </w:tcBorders>
            <w:noWrap/>
            <w:vAlign w:val="bottom"/>
            <w:hideMark/>
          </w:tcPr>
          <w:p w14:paraId="04CB0DB8"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238" w:type="dxa"/>
            <w:tcBorders>
              <w:top w:val="nil"/>
              <w:left w:val="nil"/>
              <w:bottom w:val="nil"/>
              <w:right w:val="nil"/>
            </w:tcBorders>
            <w:noWrap/>
            <w:vAlign w:val="bottom"/>
            <w:hideMark/>
          </w:tcPr>
          <w:p w14:paraId="7CD9FB02" w14:textId="77777777" w:rsidR="00D903A4" w:rsidRPr="00B27552" w:rsidRDefault="00D903A4" w:rsidP="00D903A4">
            <w:pPr>
              <w:spacing w:after="0" w:line="240" w:lineRule="auto"/>
              <w:jc w:val="left"/>
              <w:rPr>
                <w:rFonts w:ascii="Times New Roman" w:eastAsia="Times New Roman" w:hAnsi="Times New Roman" w:cs="Times New Roman"/>
                <w:sz w:val="16"/>
                <w:szCs w:val="16"/>
              </w:rPr>
            </w:pPr>
          </w:p>
        </w:tc>
        <w:tc>
          <w:tcPr>
            <w:tcW w:w="4636" w:type="dxa"/>
            <w:tcBorders>
              <w:top w:val="nil"/>
              <w:left w:val="nil"/>
              <w:bottom w:val="nil"/>
              <w:right w:val="nil"/>
            </w:tcBorders>
            <w:noWrap/>
            <w:vAlign w:val="bottom"/>
            <w:hideMark/>
          </w:tcPr>
          <w:p w14:paraId="517F75E5" w14:textId="1290F540"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xml:space="preserve">Poverty headcount rate among impacted HHs </w:t>
            </w:r>
            <w:r w:rsidR="00E96281">
              <w:rPr>
                <w:rFonts w:ascii="Calibri" w:eastAsia="Times New Roman" w:hAnsi="Calibri" w:cs="Calibri"/>
                <w:color w:val="000000"/>
                <w:sz w:val="16"/>
                <w:szCs w:val="16"/>
              </w:rPr>
              <w:t>–</w:t>
            </w:r>
            <w:r w:rsidRPr="00B27552">
              <w:rPr>
                <w:rFonts w:ascii="Calibri" w:eastAsia="Times New Roman" w:hAnsi="Calibri" w:cs="Calibri"/>
                <w:color w:val="000000"/>
                <w:sz w:val="16"/>
                <w:szCs w:val="16"/>
              </w:rPr>
              <w:t xml:space="preserve"> Disposable income</w:t>
            </w:r>
          </w:p>
        </w:tc>
        <w:tc>
          <w:tcPr>
            <w:tcW w:w="208" w:type="dxa"/>
            <w:tcBorders>
              <w:top w:val="nil"/>
              <w:left w:val="nil"/>
              <w:bottom w:val="nil"/>
              <w:right w:val="nil"/>
            </w:tcBorders>
            <w:noWrap/>
            <w:vAlign w:val="bottom"/>
            <w:hideMark/>
          </w:tcPr>
          <w:p w14:paraId="21DAC5A8" w14:textId="77777777" w:rsidR="00D903A4" w:rsidRPr="00B27552" w:rsidRDefault="00D903A4" w:rsidP="00D903A4">
            <w:pPr>
              <w:spacing w:after="0" w:line="240" w:lineRule="auto"/>
              <w:jc w:val="lef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60DD9459"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15.3%</w:t>
            </w:r>
          </w:p>
        </w:tc>
        <w:tc>
          <w:tcPr>
            <w:tcW w:w="198" w:type="dxa"/>
            <w:tcBorders>
              <w:top w:val="nil"/>
              <w:left w:val="nil"/>
              <w:bottom w:val="nil"/>
              <w:right w:val="nil"/>
            </w:tcBorders>
            <w:noWrap/>
            <w:vAlign w:val="bottom"/>
            <w:hideMark/>
          </w:tcPr>
          <w:p w14:paraId="2F90FDC3"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6863FD1A"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6.9%</w:t>
            </w:r>
          </w:p>
        </w:tc>
        <w:tc>
          <w:tcPr>
            <w:tcW w:w="198" w:type="dxa"/>
            <w:tcBorders>
              <w:top w:val="nil"/>
              <w:left w:val="nil"/>
              <w:bottom w:val="nil"/>
              <w:right w:val="nil"/>
            </w:tcBorders>
            <w:noWrap/>
            <w:vAlign w:val="bottom"/>
            <w:hideMark/>
          </w:tcPr>
          <w:p w14:paraId="5EF1B16D"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820" w:type="dxa"/>
            <w:tcBorders>
              <w:top w:val="nil"/>
              <w:left w:val="nil"/>
              <w:bottom w:val="nil"/>
              <w:right w:val="nil"/>
            </w:tcBorders>
            <w:noWrap/>
            <w:vAlign w:val="bottom"/>
            <w:hideMark/>
          </w:tcPr>
          <w:p w14:paraId="79307A69"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-8.4 pp.</w:t>
            </w:r>
          </w:p>
        </w:tc>
      </w:tr>
      <w:tr w:rsidR="00A8494E" w:rsidRPr="00A8494E" w14:paraId="134F9873" w14:textId="77777777" w:rsidTr="00A8494E">
        <w:trPr>
          <w:trHeight w:val="274"/>
        </w:trPr>
        <w:tc>
          <w:tcPr>
            <w:tcW w:w="715" w:type="dxa"/>
            <w:tcBorders>
              <w:top w:val="nil"/>
              <w:left w:val="nil"/>
              <w:bottom w:val="nil"/>
              <w:right w:val="nil"/>
            </w:tcBorders>
            <w:noWrap/>
            <w:vAlign w:val="bottom"/>
            <w:hideMark/>
          </w:tcPr>
          <w:p w14:paraId="2EE7C5D7"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238" w:type="dxa"/>
            <w:tcBorders>
              <w:top w:val="nil"/>
              <w:left w:val="nil"/>
              <w:bottom w:val="nil"/>
              <w:right w:val="nil"/>
            </w:tcBorders>
            <w:noWrap/>
            <w:vAlign w:val="bottom"/>
            <w:hideMark/>
          </w:tcPr>
          <w:p w14:paraId="0C9D9430" w14:textId="77777777" w:rsidR="00D903A4" w:rsidRPr="00B27552" w:rsidRDefault="00D903A4" w:rsidP="00D903A4">
            <w:pPr>
              <w:spacing w:after="0" w:line="240" w:lineRule="auto"/>
              <w:jc w:val="left"/>
              <w:rPr>
                <w:rFonts w:ascii="Times New Roman" w:eastAsia="Times New Roman" w:hAnsi="Times New Roman" w:cs="Times New Roman"/>
                <w:sz w:val="16"/>
                <w:szCs w:val="16"/>
              </w:rPr>
            </w:pPr>
          </w:p>
        </w:tc>
        <w:tc>
          <w:tcPr>
            <w:tcW w:w="4636" w:type="dxa"/>
            <w:tcBorders>
              <w:top w:val="nil"/>
              <w:left w:val="nil"/>
              <w:bottom w:val="nil"/>
              <w:right w:val="nil"/>
            </w:tcBorders>
            <w:noWrap/>
            <w:vAlign w:val="bottom"/>
            <w:hideMark/>
          </w:tcPr>
          <w:p w14:paraId="144AA911" w14:textId="26A6BC75"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xml:space="preserve">Poverty headcount rate among all HHs </w:t>
            </w:r>
            <w:r w:rsidR="00E96281">
              <w:rPr>
                <w:rFonts w:ascii="Calibri" w:eastAsia="Times New Roman" w:hAnsi="Calibri" w:cs="Calibri"/>
                <w:color w:val="000000"/>
                <w:sz w:val="16"/>
                <w:szCs w:val="16"/>
              </w:rPr>
              <w:t>–</w:t>
            </w:r>
            <w:r w:rsidRPr="00B27552">
              <w:rPr>
                <w:rFonts w:ascii="Calibri" w:eastAsia="Times New Roman" w:hAnsi="Calibri" w:cs="Calibri"/>
                <w:color w:val="000000"/>
                <w:sz w:val="16"/>
                <w:szCs w:val="16"/>
              </w:rPr>
              <w:t xml:space="preserve"> Market income</w:t>
            </w:r>
          </w:p>
        </w:tc>
        <w:tc>
          <w:tcPr>
            <w:tcW w:w="208" w:type="dxa"/>
            <w:tcBorders>
              <w:top w:val="nil"/>
              <w:left w:val="nil"/>
              <w:bottom w:val="nil"/>
              <w:right w:val="nil"/>
            </w:tcBorders>
            <w:noWrap/>
            <w:vAlign w:val="bottom"/>
            <w:hideMark/>
          </w:tcPr>
          <w:p w14:paraId="0F44AA6D" w14:textId="77777777" w:rsidR="00D903A4" w:rsidRPr="00B27552" w:rsidRDefault="00D903A4" w:rsidP="00D903A4">
            <w:pPr>
              <w:spacing w:after="0" w:line="240" w:lineRule="auto"/>
              <w:jc w:val="lef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584AC261"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14.0%</w:t>
            </w:r>
          </w:p>
        </w:tc>
        <w:tc>
          <w:tcPr>
            <w:tcW w:w="198" w:type="dxa"/>
            <w:tcBorders>
              <w:top w:val="nil"/>
              <w:left w:val="nil"/>
              <w:bottom w:val="nil"/>
              <w:right w:val="nil"/>
            </w:tcBorders>
            <w:noWrap/>
            <w:vAlign w:val="bottom"/>
            <w:hideMark/>
          </w:tcPr>
          <w:p w14:paraId="470FF893"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4AC00A79"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13.7%</w:t>
            </w:r>
          </w:p>
        </w:tc>
        <w:tc>
          <w:tcPr>
            <w:tcW w:w="198" w:type="dxa"/>
            <w:tcBorders>
              <w:top w:val="nil"/>
              <w:left w:val="nil"/>
              <w:bottom w:val="nil"/>
              <w:right w:val="nil"/>
            </w:tcBorders>
            <w:noWrap/>
            <w:vAlign w:val="bottom"/>
            <w:hideMark/>
          </w:tcPr>
          <w:p w14:paraId="445EB373"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820" w:type="dxa"/>
            <w:tcBorders>
              <w:top w:val="nil"/>
              <w:left w:val="nil"/>
              <w:bottom w:val="nil"/>
              <w:right w:val="nil"/>
            </w:tcBorders>
            <w:noWrap/>
            <w:vAlign w:val="bottom"/>
            <w:hideMark/>
          </w:tcPr>
          <w:p w14:paraId="00172769"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-0.2 pp.</w:t>
            </w:r>
          </w:p>
        </w:tc>
      </w:tr>
      <w:tr w:rsidR="00A8494E" w:rsidRPr="00A8494E" w14:paraId="4F13E838" w14:textId="77777777" w:rsidTr="00A8494E">
        <w:trPr>
          <w:trHeight w:val="274"/>
        </w:trPr>
        <w:tc>
          <w:tcPr>
            <w:tcW w:w="715" w:type="dxa"/>
            <w:tcBorders>
              <w:top w:val="nil"/>
              <w:left w:val="nil"/>
              <w:bottom w:val="nil"/>
              <w:right w:val="nil"/>
            </w:tcBorders>
            <w:noWrap/>
            <w:vAlign w:val="bottom"/>
            <w:hideMark/>
          </w:tcPr>
          <w:p w14:paraId="6F983B2F"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238" w:type="dxa"/>
            <w:tcBorders>
              <w:top w:val="nil"/>
              <w:left w:val="nil"/>
              <w:bottom w:val="nil"/>
              <w:right w:val="nil"/>
            </w:tcBorders>
            <w:noWrap/>
            <w:vAlign w:val="bottom"/>
            <w:hideMark/>
          </w:tcPr>
          <w:p w14:paraId="3E23658A" w14:textId="77777777" w:rsidR="00D903A4" w:rsidRPr="00B27552" w:rsidRDefault="00D903A4" w:rsidP="00D903A4">
            <w:pPr>
              <w:spacing w:after="0" w:line="240" w:lineRule="auto"/>
              <w:jc w:val="left"/>
              <w:rPr>
                <w:rFonts w:ascii="Times New Roman" w:eastAsia="Times New Roman" w:hAnsi="Times New Roman" w:cs="Times New Roman"/>
                <w:sz w:val="16"/>
                <w:szCs w:val="16"/>
              </w:rPr>
            </w:pPr>
          </w:p>
        </w:tc>
        <w:tc>
          <w:tcPr>
            <w:tcW w:w="4636" w:type="dxa"/>
            <w:tcBorders>
              <w:top w:val="nil"/>
              <w:left w:val="nil"/>
              <w:bottom w:val="nil"/>
              <w:right w:val="nil"/>
            </w:tcBorders>
            <w:noWrap/>
            <w:vAlign w:val="bottom"/>
            <w:hideMark/>
          </w:tcPr>
          <w:p w14:paraId="6EFB434F" w14:textId="2AD2F542"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xml:space="preserve">Poverty headcount rate among all HHs </w:t>
            </w:r>
            <w:r w:rsidR="00E96281">
              <w:rPr>
                <w:rFonts w:ascii="Calibri" w:eastAsia="Times New Roman" w:hAnsi="Calibri" w:cs="Calibri"/>
                <w:color w:val="000000"/>
                <w:sz w:val="16"/>
                <w:szCs w:val="16"/>
              </w:rPr>
              <w:t>–</w:t>
            </w:r>
            <w:r w:rsidRPr="00B27552">
              <w:rPr>
                <w:rFonts w:ascii="Calibri" w:eastAsia="Times New Roman" w:hAnsi="Calibri" w:cs="Calibri"/>
                <w:color w:val="000000"/>
                <w:sz w:val="16"/>
                <w:szCs w:val="16"/>
              </w:rPr>
              <w:t xml:space="preserve"> Disposable income</w:t>
            </w:r>
          </w:p>
        </w:tc>
        <w:tc>
          <w:tcPr>
            <w:tcW w:w="208" w:type="dxa"/>
            <w:tcBorders>
              <w:top w:val="nil"/>
              <w:left w:val="nil"/>
              <w:bottom w:val="nil"/>
              <w:right w:val="nil"/>
            </w:tcBorders>
            <w:noWrap/>
            <w:vAlign w:val="bottom"/>
            <w:hideMark/>
          </w:tcPr>
          <w:p w14:paraId="38522848" w14:textId="77777777" w:rsidR="00D903A4" w:rsidRPr="00B27552" w:rsidRDefault="00D903A4" w:rsidP="00D903A4">
            <w:pPr>
              <w:spacing w:after="0" w:line="240" w:lineRule="auto"/>
              <w:jc w:val="lef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42E0324A"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12.2%</w:t>
            </w:r>
          </w:p>
        </w:tc>
        <w:tc>
          <w:tcPr>
            <w:tcW w:w="198" w:type="dxa"/>
            <w:tcBorders>
              <w:top w:val="nil"/>
              <w:left w:val="nil"/>
              <w:bottom w:val="nil"/>
              <w:right w:val="nil"/>
            </w:tcBorders>
            <w:noWrap/>
            <w:vAlign w:val="bottom"/>
            <w:hideMark/>
          </w:tcPr>
          <w:p w14:paraId="2DF61C72"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55AE19E7"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12.0%</w:t>
            </w:r>
          </w:p>
        </w:tc>
        <w:tc>
          <w:tcPr>
            <w:tcW w:w="198" w:type="dxa"/>
            <w:tcBorders>
              <w:top w:val="nil"/>
              <w:left w:val="nil"/>
              <w:bottom w:val="nil"/>
              <w:right w:val="nil"/>
            </w:tcBorders>
            <w:noWrap/>
            <w:vAlign w:val="bottom"/>
            <w:hideMark/>
          </w:tcPr>
          <w:p w14:paraId="1324A09E"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820" w:type="dxa"/>
            <w:tcBorders>
              <w:top w:val="nil"/>
              <w:left w:val="nil"/>
              <w:bottom w:val="nil"/>
              <w:right w:val="nil"/>
            </w:tcBorders>
            <w:noWrap/>
            <w:vAlign w:val="bottom"/>
            <w:hideMark/>
          </w:tcPr>
          <w:p w14:paraId="7F327DE0"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-0.2 pp.</w:t>
            </w:r>
          </w:p>
        </w:tc>
      </w:tr>
      <w:tr w:rsidR="00A8494E" w:rsidRPr="00A8494E" w14:paraId="71C48BEB" w14:textId="77777777" w:rsidTr="00A8494E">
        <w:trPr>
          <w:trHeight w:val="274"/>
        </w:trPr>
        <w:tc>
          <w:tcPr>
            <w:tcW w:w="715" w:type="dxa"/>
            <w:tcBorders>
              <w:top w:val="nil"/>
              <w:left w:val="nil"/>
              <w:bottom w:val="nil"/>
              <w:right w:val="nil"/>
            </w:tcBorders>
            <w:noWrap/>
            <w:vAlign w:val="bottom"/>
            <w:hideMark/>
          </w:tcPr>
          <w:p w14:paraId="49C09146"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238" w:type="dxa"/>
            <w:tcBorders>
              <w:top w:val="nil"/>
              <w:left w:val="nil"/>
              <w:bottom w:val="nil"/>
              <w:right w:val="nil"/>
            </w:tcBorders>
            <w:noWrap/>
            <w:vAlign w:val="bottom"/>
            <w:hideMark/>
          </w:tcPr>
          <w:p w14:paraId="7B91F79A" w14:textId="77777777" w:rsidR="00D903A4" w:rsidRPr="00B27552" w:rsidRDefault="00D903A4" w:rsidP="00D903A4">
            <w:pPr>
              <w:spacing w:after="0" w:line="240" w:lineRule="auto"/>
              <w:jc w:val="left"/>
              <w:rPr>
                <w:rFonts w:ascii="Times New Roman" w:eastAsia="Times New Roman" w:hAnsi="Times New Roman" w:cs="Times New Roman"/>
                <w:sz w:val="16"/>
                <w:szCs w:val="16"/>
              </w:rPr>
            </w:pPr>
          </w:p>
        </w:tc>
        <w:tc>
          <w:tcPr>
            <w:tcW w:w="4636" w:type="dxa"/>
            <w:tcBorders>
              <w:top w:val="nil"/>
              <w:left w:val="nil"/>
              <w:bottom w:val="nil"/>
              <w:right w:val="nil"/>
            </w:tcBorders>
            <w:noWrap/>
            <w:vAlign w:val="bottom"/>
            <w:hideMark/>
          </w:tcPr>
          <w:p w14:paraId="29D4D299" w14:textId="79A1A4E2"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xml:space="preserve">Poverty gap among all HHs </w:t>
            </w:r>
            <w:r w:rsidR="00E96281">
              <w:rPr>
                <w:rFonts w:ascii="Calibri" w:eastAsia="Times New Roman" w:hAnsi="Calibri" w:cs="Calibri"/>
                <w:color w:val="000000"/>
                <w:sz w:val="16"/>
                <w:szCs w:val="16"/>
              </w:rPr>
              <w:t>–</w:t>
            </w:r>
            <w:r w:rsidRPr="00B27552">
              <w:rPr>
                <w:rFonts w:ascii="Calibri" w:eastAsia="Times New Roman" w:hAnsi="Calibri" w:cs="Calibri"/>
                <w:color w:val="000000"/>
                <w:sz w:val="16"/>
                <w:szCs w:val="16"/>
              </w:rPr>
              <w:t xml:space="preserve"> Market income</w:t>
            </w:r>
          </w:p>
        </w:tc>
        <w:tc>
          <w:tcPr>
            <w:tcW w:w="208" w:type="dxa"/>
            <w:tcBorders>
              <w:top w:val="nil"/>
              <w:left w:val="nil"/>
              <w:bottom w:val="nil"/>
              <w:right w:val="nil"/>
            </w:tcBorders>
            <w:noWrap/>
            <w:vAlign w:val="bottom"/>
            <w:hideMark/>
          </w:tcPr>
          <w:p w14:paraId="649FF09A" w14:textId="77777777" w:rsidR="00D903A4" w:rsidRPr="00B27552" w:rsidRDefault="00D903A4" w:rsidP="00D903A4">
            <w:pPr>
              <w:spacing w:after="0" w:line="240" w:lineRule="auto"/>
              <w:jc w:val="lef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66DE268D"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4.7%</w:t>
            </w:r>
          </w:p>
        </w:tc>
        <w:tc>
          <w:tcPr>
            <w:tcW w:w="198" w:type="dxa"/>
            <w:tcBorders>
              <w:top w:val="nil"/>
              <w:left w:val="nil"/>
              <w:bottom w:val="nil"/>
              <w:right w:val="nil"/>
            </w:tcBorders>
            <w:noWrap/>
            <w:vAlign w:val="bottom"/>
            <w:hideMark/>
          </w:tcPr>
          <w:p w14:paraId="7379CA8F"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225CB9E6"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4.6%</w:t>
            </w:r>
          </w:p>
        </w:tc>
        <w:tc>
          <w:tcPr>
            <w:tcW w:w="198" w:type="dxa"/>
            <w:tcBorders>
              <w:top w:val="nil"/>
              <w:left w:val="nil"/>
              <w:bottom w:val="nil"/>
              <w:right w:val="nil"/>
            </w:tcBorders>
            <w:noWrap/>
            <w:vAlign w:val="bottom"/>
            <w:hideMark/>
          </w:tcPr>
          <w:p w14:paraId="5A548066"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820" w:type="dxa"/>
            <w:tcBorders>
              <w:top w:val="nil"/>
              <w:left w:val="nil"/>
              <w:bottom w:val="nil"/>
              <w:right w:val="nil"/>
            </w:tcBorders>
            <w:noWrap/>
            <w:vAlign w:val="bottom"/>
            <w:hideMark/>
          </w:tcPr>
          <w:p w14:paraId="76CEACB5"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-0.1 pp.</w:t>
            </w:r>
          </w:p>
        </w:tc>
      </w:tr>
      <w:tr w:rsidR="00A8494E" w:rsidRPr="00A8494E" w14:paraId="6756CB05" w14:textId="77777777" w:rsidTr="00A8494E">
        <w:trPr>
          <w:trHeight w:val="274"/>
        </w:trPr>
        <w:tc>
          <w:tcPr>
            <w:tcW w:w="715" w:type="dxa"/>
            <w:tcBorders>
              <w:top w:val="nil"/>
              <w:left w:val="nil"/>
              <w:bottom w:val="nil"/>
              <w:right w:val="nil"/>
            </w:tcBorders>
            <w:noWrap/>
            <w:vAlign w:val="bottom"/>
            <w:hideMark/>
          </w:tcPr>
          <w:p w14:paraId="1C38B36E"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238" w:type="dxa"/>
            <w:tcBorders>
              <w:top w:val="nil"/>
              <w:left w:val="nil"/>
              <w:bottom w:val="nil"/>
              <w:right w:val="nil"/>
            </w:tcBorders>
            <w:noWrap/>
            <w:vAlign w:val="bottom"/>
            <w:hideMark/>
          </w:tcPr>
          <w:p w14:paraId="46483C95" w14:textId="77777777" w:rsidR="00D903A4" w:rsidRPr="00B27552" w:rsidRDefault="00D903A4" w:rsidP="00D903A4">
            <w:pPr>
              <w:spacing w:after="0" w:line="240" w:lineRule="auto"/>
              <w:jc w:val="left"/>
              <w:rPr>
                <w:rFonts w:ascii="Times New Roman" w:eastAsia="Times New Roman" w:hAnsi="Times New Roman" w:cs="Times New Roman"/>
                <w:sz w:val="16"/>
                <w:szCs w:val="16"/>
              </w:rPr>
            </w:pPr>
          </w:p>
        </w:tc>
        <w:tc>
          <w:tcPr>
            <w:tcW w:w="4636" w:type="dxa"/>
            <w:tcBorders>
              <w:top w:val="nil"/>
              <w:left w:val="nil"/>
              <w:bottom w:val="nil"/>
              <w:right w:val="nil"/>
            </w:tcBorders>
            <w:noWrap/>
            <w:vAlign w:val="bottom"/>
            <w:hideMark/>
          </w:tcPr>
          <w:p w14:paraId="5C48EDC1" w14:textId="201702D9"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xml:space="preserve">Poverty gap among all HHs </w:t>
            </w:r>
            <w:r w:rsidR="00E96281">
              <w:rPr>
                <w:rFonts w:ascii="Calibri" w:eastAsia="Times New Roman" w:hAnsi="Calibri" w:cs="Calibri"/>
                <w:color w:val="000000"/>
                <w:sz w:val="16"/>
                <w:szCs w:val="16"/>
              </w:rPr>
              <w:t>–</w:t>
            </w:r>
            <w:r w:rsidRPr="00B27552">
              <w:rPr>
                <w:rFonts w:ascii="Calibri" w:eastAsia="Times New Roman" w:hAnsi="Calibri" w:cs="Calibri"/>
                <w:color w:val="000000"/>
                <w:sz w:val="16"/>
                <w:szCs w:val="16"/>
              </w:rPr>
              <w:t xml:space="preserve"> Disposable income</w:t>
            </w:r>
          </w:p>
        </w:tc>
        <w:tc>
          <w:tcPr>
            <w:tcW w:w="208" w:type="dxa"/>
            <w:tcBorders>
              <w:top w:val="nil"/>
              <w:left w:val="nil"/>
              <w:bottom w:val="nil"/>
              <w:right w:val="nil"/>
            </w:tcBorders>
            <w:noWrap/>
            <w:vAlign w:val="bottom"/>
            <w:hideMark/>
          </w:tcPr>
          <w:p w14:paraId="74D5E5D8" w14:textId="77777777" w:rsidR="00D903A4" w:rsidRPr="00B27552" w:rsidRDefault="00D903A4" w:rsidP="00D903A4">
            <w:pPr>
              <w:spacing w:after="0" w:line="240" w:lineRule="auto"/>
              <w:jc w:val="lef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4CDF7C6A"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3.2%</w:t>
            </w:r>
          </w:p>
        </w:tc>
        <w:tc>
          <w:tcPr>
            <w:tcW w:w="198" w:type="dxa"/>
            <w:tcBorders>
              <w:top w:val="nil"/>
              <w:left w:val="nil"/>
              <w:bottom w:val="nil"/>
              <w:right w:val="nil"/>
            </w:tcBorders>
            <w:noWrap/>
            <w:vAlign w:val="bottom"/>
            <w:hideMark/>
          </w:tcPr>
          <w:p w14:paraId="34B4CC8B"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1717C8C4"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3.2%</w:t>
            </w:r>
          </w:p>
        </w:tc>
        <w:tc>
          <w:tcPr>
            <w:tcW w:w="198" w:type="dxa"/>
            <w:tcBorders>
              <w:top w:val="nil"/>
              <w:left w:val="nil"/>
              <w:bottom w:val="nil"/>
              <w:right w:val="nil"/>
            </w:tcBorders>
            <w:noWrap/>
            <w:vAlign w:val="bottom"/>
            <w:hideMark/>
          </w:tcPr>
          <w:p w14:paraId="067DB9A2"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820" w:type="dxa"/>
            <w:tcBorders>
              <w:top w:val="nil"/>
              <w:left w:val="nil"/>
              <w:bottom w:val="nil"/>
              <w:right w:val="nil"/>
            </w:tcBorders>
            <w:noWrap/>
            <w:vAlign w:val="bottom"/>
            <w:hideMark/>
          </w:tcPr>
          <w:p w14:paraId="204738B2"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-0.1 pp.</w:t>
            </w:r>
          </w:p>
        </w:tc>
      </w:tr>
      <w:tr w:rsidR="00A8494E" w:rsidRPr="00A8494E" w14:paraId="75B4E60E" w14:textId="77777777" w:rsidTr="00A8494E">
        <w:trPr>
          <w:trHeight w:val="274"/>
        </w:trPr>
        <w:tc>
          <w:tcPr>
            <w:tcW w:w="715" w:type="dxa"/>
            <w:tcBorders>
              <w:top w:val="nil"/>
              <w:left w:val="nil"/>
              <w:bottom w:val="nil"/>
              <w:right w:val="nil"/>
            </w:tcBorders>
            <w:noWrap/>
            <w:vAlign w:val="bottom"/>
            <w:hideMark/>
          </w:tcPr>
          <w:p w14:paraId="07B76E2A"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4874" w:type="dxa"/>
            <w:gridSpan w:val="2"/>
            <w:tcBorders>
              <w:top w:val="nil"/>
              <w:left w:val="nil"/>
              <w:bottom w:val="nil"/>
              <w:right w:val="nil"/>
            </w:tcBorders>
            <w:shd w:val="clear" w:color="000000" w:fill="8497B0"/>
            <w:noWrap/>
            <w:vAlign w:val="bottom"/>
            <w:hideMark/>
          </w:tcPr>
          <w:p w14:paraId="2309F197"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Inequality</w:t>
            </w:r>
          </w:p>
        </w:tc>
        <w:tc>
          <w:tcPr>
            <w:tcW w:w="208" w:type="dxa"/>
            <w:tcBorders>
              <w:top w:val="nil"/>
              <w:left w:val="nil"/>
              <w:bottom w:val="nil"/>
              <w:right w:val="nil"/>
            </w:tcBorders>
            <w:shd w:val="clear" w:color="000000" w:fill="8497B0"/>
            <w:noWrap/>
            <w:vAlign w:val="bottom"/>
            <w:hideMark/>
          </w:tcPr>
          <w:p w14:paraId="4F85E766"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1636" w:type="dxa"/>
            <w:tcBorders>
              <w:top w:val="nil"/>
              <w:left w:val="nil"/>
              <w:bottom w:val="nil"/>
              <w:right w:val="nil"/>
            </w:tcBorders>
            <w:shd w:val="clear" w:color="000000" w:fill="8497B0"/>
            <w:noWrap/>
            <w:vAlign w:val="bottom"/>
            <w:hideMark/>
          </w:tcPr>
          <w:p w14:paraId="5F0B2113"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198" w:type="dxa"/>
            <w:tcBorders>
              <w:top w:val="nil"/>
              <w:left w:val="nil"/>
              <w:bottom w:val="nil"/>
              <w:right w:val="nil"/>
            </w:tcBorders>
            <w:shd w:val="clear" w:color="000000" w:fill="8497B0"/>
            <w:noWrap/>
            <w:vAlign w:val="bottom"/>
            <w:hideMark/>
          </w:tcPr>
          <w:p w14:paraId="4900BAC1"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1636" w:type="dxa"/>
            <w:tcBorders>
              <w:top w:val="nil"/>
              <w:left w:val="nil"/>
              <w:bottom w:val="nil"/>
              <w:right w:val="nil"/>
            </w:tcBorders>
            <w:shd w:val="clear" w:color="000000" w:fill="8497B0"/>
            <w:noWrap/>
            <w:vAlign w:val="bottom"/>
            <w:hideMark/>
          </w:tcPr>
          <w:p w14:paraId="3C096AAF"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198" w:type="dxa"/>
            <w:tcBorders>
              <w:top w:val="nil"/>
              <w:left w:val="nil"/>
              <w:bottom w:val="nil"/>
              <w:right w:val="nil"/>
            </w:tcBorders>
            <w:shd w:val="clear" w:color="000000" w:fill="8497B0"/>
            <w:noWrap/>
            <w:vAlign w:val="bottom"/>
            <w:hideMark/>
          </w:tcPr>
          <w:p w14:paraId="504E9CFB"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820" w:type="dxa"/>
            <w:tcBorders>
              <w:top w:val="nil"/>
              <w:left w:val="nil"/>
              <w:bottom w:val="nil"/>
              <w:right w:val="nil"/>
            </w:tcBorders>
            <w:shd w:val="clear" w:color="000000" w:fill="8497B0"/>
            <w:noWrap/>
            <w:vAlign w:val="bottom"/>
            <w:hideMark/>
          </w:tcPr>
          <w:p w14:paraId="72E9281D"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r>
      <w:tr w:rsidR="00A8494E" w:rsidRPr="00A8494E" w14:paraId="1FB10D8B" w14:textId="77777777" w:rsidTr="00A8494E">
        <w:trPr>
          <w:trHeight w:val="274"/>
        </w:trPr>
        <w:tc>
          <w:tcPr>
            <w:tcW w:w="715" w:type="dxa"/>
            <w:tcBorders>
              <w:top w:val="nil"/>
              <w:left w:val="nil"/>
              <w:bottom w:val="nil"/>
              <w:right w:val="nil"/>
            </w:tcBorders>
            <w:noWrap/>
            <w:vAlign w:val="bottom"/>
            <w:hideMark/>
          </w:tcPr>
          <w:p w14:paraId="37EA9B4D" w14:textId="77777777" w:rsidR="00D903A4" w:rsidRPr="00B27552" w:rsidRDefault="00D903A4" w:rsidP="00D903A4">
            <w:pPr>
              <w:spacing w:after="0" w:line="240" w:lineRule="auto"/>
              <w:jc w:val="left"/>
              <w:rPr>
                <w:rFonts w:ascii="Calibri" w:eastAsia="Times New Roman" w:hAnsi="Calibri" w:cs="Calibri"/>
                <w:color w:val="000000"/>
                <w:sz w:val="16"/>
                <w:szCs w:val="16"/>
              </w:rPr>
            </w:pPr>
          </w:p>
        </w:tc>
        <w:tc>
          <w:tcPr>
            <w:tcW w:w="238" w:type="dxa"/>
            <w:tcBorders>
              <w:top w:val="nil"/>
              <w:left w:val="nil"/>
              <w:bottom w:val="nil"/>
              <w:right w:val="nil"/>
            </w:tcBorders>
            <w:noWrap/>
            <w:vAlign w:val="bottom"/>
            <w:hideMark/>
          </w:tcPr>
          <w:p w14:paraId="3E54A852" w14:textId="77777777" w:rsidR="00D903A4" w:rsidRPr="00B27552" w:rsidRDefault="00D903A4" w:rsidP="00D903A4">
            <w:pPr>
              <w:spacing w:after="0" w:line="240" w:lineRule="auto"/>
              <w:jc w:val="left"/>
              <w:rPr>
                <w:rFonts w:ascii="Times New Roman" w:eastAsia="Times New Roman" w:hAnsi="Times New Roman" w:cs="Times New Roman"/>
                <w:sz w:val="16"/>
                <w:szCs w:val="16"/>
              </w:rPr>
            </w:pPr>
          </w:p>
        </w:tc>
        <w:tc>
          <w:tcPr>
            <w:tcW w:w="4636" w:type="dxa"/>
            <w:tcBorders>
              <w:top w:val="nil"/>
              <w:left w:val="nil"/>
              <w:bottom w:val="nil"/>
              <w:right w:val="nil"/>
            </w:tcBorders>
            <w:noWrap/>
            <w:vAlign w:val="bottom"/>
            <w:hideMark/>
          </w:tcPr>
          <w:p w14:paraId="50CA3957" w14:textId="5DD0AD53"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xml:space="preserve">Gini index among all HHs </w:t>
            </w:r>
            <w:r w:rsidR="00E96281">
              <w:rPr>
                <w:rFonts w:ascii="Calibri" w:eastAsia="Times New Roman" w:hAnsi="Calibri" w:cs="Calibri"/>
                <w:color w:val="000000"/>
                <w:sz w:val="16"/>
                <w:szCs w:val="16"/>
              </w:rPr>
              <w:t>–</w:t>
            </w:r>
            <w:r w:rsidRPr="00B27552">
              <w:rPr>
                <w:rFonts w:ascii="Calibri" w:eastAsia="Times New Roman" w:hAnsi="Calibri" w:cs="Calibri"/>
                <w:color w:val="000000"/>
                <w:sz w:val="16"/>
                <w:szCs w:val="16"/>
              </w:rPr>
              <w:t xml:space="preserve"> Market income</w:t>
            </w:r>
          </w:p>
        </w:tc>
        <w:tc>
          <w:tcPr>
            <w:tcW w:w="208" w:type="dxa"/>
            <w:tcBorders>
              <w:top w:val="nil"/>
              <w:left w:val="nil"/>
              <w:bottom w:val="nil"/>
              <w:right w:val="nil"/>
            </w:tcBorders>
            <w:noWrap/>
            <w:vAlign w:val="bottom"/>
            <w:hideMark/>
          </w:tcPr>
          <w:p w14:paraId="7906997E" w14:textId="77777777" w:rsidR="00D903A4" w:rsidRPr="00B27552" w:rsidRDefault="00D903A4" w:rsidP="00D903A4">
            <w:pPr>
              <w:spacing w:after="0" w:line="240" w:lineRule="auto"/>
              <w:jc w:val="lef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0D3B5D47"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44.8%</w:t>
            </w:r>
          </w:p>
        </w:tc>
        <w:tc>
          <w:tcPr>
            <w:tcW w:w="198" w:type="dxa"/>
            <w:tcBorders>
              <w:top w:val="nil"/>
              <w:left w:val="nil"/>
              <w:bottom w:val="nil"/>
              <w:right w:val="nil"/>
            </w:tcBorders>
            <w:noWrap/>
            <w:vAlign w:val="bottom"/>
            <w:hideMark/>
          </w:tcPr>
          <w:p w14:paraId="397632DA"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0689A8AB"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44.7%</w:t>
            </w:r>
          </w:p>
        </w:tc>
        <w:tc>
          <w:tcPr>
            <w:tcW w:w="198" w:type="dxa"/>
            <w:tcBorders>
              <w:top w:val="nil"/>
              <w:left w:val="nil"/>
              <w:bottom w:val="nil"/>
              <w:right w:val="nil"/>
            </w:tcBorders>
            <w:noWrap/>
            <w:vAlign w:val="bottom"/>
            <w:hideMark/>
          </w:tcPr>
          <w:p w14:paraId="6A1868EF"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820" w:type="dxa"/>
            <w:tcBorders>
              <w:top w:val="nil"/>
              <w:left w:val="nil"/>
              <w:bottom w:val="nil"/>
              <w:right w:val="nil"/>
            </w:tcBorders>
            <w:noWrap/>
            <w:vAlign w:val="bottom"/>
            <w:hideMark/>
          </w:tcPr>
          <w:p w14:paraId="457E773C"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-0.1 pp.</w:t>
            </w:r>
          </w:p>
        </w:tc>
      </w:tr>
      <w:tr w:rsidR="00A8494E" w:rsidRPr="00A8494E" w14:paraId="657F5E2C" w14:textId="77777777" w:rsidTr="00A8494E">
        <w:trPr>
          <w:trHeight w:val="274"/>
        </w:trPr>
        <w:tc>
          <w:tcPr>
            <w:tcW w:w="715" w:type="dxa"/>
            <w:tcBorders>
              <w:top w:val="nil"/>
              <w:left w:val="nil"/>
              <w:bottom w:val="nil"/>
              <w:right w:val="nil"/>
            </w:tcBorders>
            <w:noWrap/>
            <w:vAlign w:val="bottom"/>
            <w:hideMark/>
          </w:tcPr>
          <w:p w14:paraId="666151AE"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238" w:type="dxa"/>
            <w:tcBorders>
              <w:top w:val="nil"/>
              <w:left w:val="nil"/>
              <w:bottom w:val="nil"/>
              <w:right w:val="nil"/>
            </w:tcBorders>
            <w:noWrap/>
            <w:vAlign w:val="bottom"/>
            <w:hideMark/>
          </w:tcPr>
          <w:p w14:paraId="3E87654A" w14:textId="77777777" w:rsidR="00D903A4" w:rsidRPr="00B27552" w:rsidRDefault="00D903A4" w:rsidP="00D903A4">
            <w:pPr>
              <w:spacing w:after="0" w:line="240" w:lineRule="auto"/>
              <w:jc w:val="left"/>
              <w:rPr>
                <w:rFonts w:ascii="Times New Roman" w:eastAsia="Times New Roman" w:hAnsi="Times New Roman" w:cs="Times New Roman"/>
                <w:sz w:val="16"/>
                <w:szCs w:val="16"/>
              </w:rPr>
            </w:pPr>
          </w:p>
        </w:tc>
        <w:tc>
          <w:tcPr>
            <w:tcW w:w="4636" w:type="dxa"/>
            <w:tcBorders>
              <w:top w:val="nil"/>
              <w:left w:val="nil"/>
              <w:bottom w:val="nil"/>
              <w:right w:val="nil"/>
            </w:tcBorders>
            <w:noWrap/>
            <w:vAlign w:val="bottom"/>
            <w:hideMark/>
          </w:tcPr>
          <w:p w14:paraId="6B45A2FE" w14:textId="0460E70E"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xml:space="preserve">Gini index among all HHs </w:t>
            </w:r>
            <w:r w:rsidR="00E96281">
              <w:rPr>
                <w:rFonts w:ascii="Calibri" w:eastAsia="Times New Roman" w:hAnsi="Calibri" w:cs="Calibri"/>
                <w:color w:val="000000"/>
                <w:sz w:val="16"/>
                <w:szCs w:val="16"/>
              </w:rPr>
              <w:t>–</w:t>
            </w:r>
            <w:r w:rsidRPr="00B27552">
              <w:rPr>
                <w:rFonts w:ascii="Calibri" w:eastAsia="Times New Roman" w:hAnsi="Calibri" w:cs="Calibri"/>
                <w:color w:val="000000"/>
                <w:sz w:val="16"/>
                <w:szCs w:val="16"/>
              </w:rPr>
              <w:t xml:space="preserve"> Disposable income</w:t>
            </w:r>
          </w:p>
        </w:tc>
        <w:tc>
          <w:tcPr>
            <w:tcW w:w="208" w:type="dxa"/>
            <w:tcBorders>
              <w:top w:val="nil"/>
              <w:left w:val="nil"/>
              <w:bottom w:val="nil"/>
              <w:right w:val="nil"/>
            </w:tcBorders>
            <w:noWrap/>
            <w:vAlign w:val="bottom"/>
            <w:hideMark/>
          </w:tcPr>
          <w:p w14:paraId="698AE5AE" w14:textId="77777777" w:rsidR="00D903A4" w:rsidRPr="00B27552" w:rsidRDefault="00D903A4" w:rsidP="00D903A4">
            <w:pPr>
              <w:spacing w:after="0" w:line="240" w:lineRule="auto"/>
              <w:jc w:val="lef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109A2459"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41.7%</w:t>
            </w:r>
          </w:p>
        </w:tc>
        <w:tc>
          <w:tcPr>
            <w:tcW w:w="198" w:type="dxa"/>
            <w:tcBorders>
              <w:top w:val="nil"/>
              <w:left w:val="nil"/>
              <w:bottom w:val="nil"/>
              <w:right w:val="nil"/>
            </w:tcBorders>
            <w:noWrap/>
            <w:vAlign w:val="bottom"/>
            <w:hideMark/>
          </w:tcPr>
          <w:p w14:paraId="04711F89"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02D37CE7"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41.6%</w:t>
            </w:r>
          </w:p>
        </w:tc>
        <w:tc>
          <w:tcPr>
            <w:tcW w:w="198" w:type="dxa"/>
            <w:tcBorders>
              <w:top w:val="nil"/>
              <w:left w:val="nil"/>
              <w:bottom w:val="nil"/>
              <w:right w:val="nil"/>
            </w:tcBorders>
            <w:noWrap/>
            <w:vAlign w:val="bottom"/>
            <w:hideMark/>
          </w:tcPr>
          <w:p w14:paraId="066B4AE4"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820" w:type="dxa"/>
            <w:tcBorders>
              <w:top w:val="nil"/>
              <w:left w:val="nil"/>
              <w:bottom w:val="nil"/>
              <w:right w:val="nil"/>
            </w:tcBorders>
            <w:noWrap/>
            <w:vAlign w:val="bottom"/>
            <w:hideMark/>
          </w:tcPr>
          <w:p w14:paraId="5D24BD4F"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-0.1 pp.</w:t>
            </w:r>
          </w:p>
        </w:tc>
      </w:tr>
      <w:tr w:rsidR="00A8494E" w:rsidRPr="00A8494E" w14:paraId="54C89CB1" w14:textId="77777777" w:rsidTr="00A8494E">
        <w:trPr>
          <w:trHeight w:val="274"/>
        </w:trPr>
        <w:tc>
          <w:tcPr>
            <w:tcW w:w="715" w:type="dxa"/>
            <w:tcBorders>
              <w:top w:val="nil"/>
              <w:left w:val="nil"/>
              <w:bottom w:val="nil"/>
              <w:right w:val="nil"/>
            </w:tcBorders>
            <w:noWrap/>
            <w:vAlign w:val="bottom"/>
            <w:hideMark/>
          </w:tcPr>
          <w:p w14:paraId="624CB0C6"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4874" w:type="dxa"/>
            <w:gridSpan w:val="2"/>
            <w:tcBorders>
              <w:top w:val="nil"/>
              <w:left w:val="nil"/>
              <w:bottom w:val="nil"/>
              <w:right w:val="nil"/>
            </w:tcBorders>
            <w:shd w:val="clear" w:color="000000" w:fill="8497B0"/>
            <w:noWrap/>
            <w:vAlign w:val="bottom"/>
            <w:hideMark/>
          </w:tcPr>
          <w:p w14:paraId="33268043"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Fiscal</w:t>
            </w:r>
          </w:p>
        </w:tc>
        <w:tc>
          <w:tcPr>
            <w:tcW w:w="208" w:type="dxa"/>
            <w:tcBorders>
              <w:top w:val="nil"/>
              <w:left w:val="nil"/>
              <w:bottom w:val="nil"/>
              <w:right w:val="nil"/>
            </w:tcBorders>
            <w:shd w:val="clear" w:color="000000" w:fill="8497B0"/>
            <w:noWrap/>
            <w:vAlign w:val="bottom"/>
            <w:hideMark/>
          </w:tcPr>
          <w:p w14:paraId="67134621"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1636" w:type="dxa"/>
            <w:tcBorders>
              <w:top w:val="nil"/>
              <w:left w:val="nil"/>
              <w:bottom w:val="nil"/>
              <w:right w:val="nil"/>
            </w:tcBorders>
            <w:shd w:val="clear" w:color="000000" w:fill="8497B0"/>
            <w:noWrap/>
            <w:vAlign w:val="bottom"/>
            <w:hideMark/>
          </w:tcPr>
          <w:p w14:paraId="69765E3E"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198" w:type="dxa"/>
            <w:tcBorders>
              <w:top w:val="nil"/>
              <w:left w:val="nil"/>
              <w:bottom w:val="nil"/>
              <w:right w:val="nil"/>
            </w:tcBorders>
            <w:shd w:val="clear" w:color="000000" w:fill="8497B0"/>
            <w:noWrap/>
            <w:vAlign w:val="bottom"/>
            <w:hideMark/>
          </w:tcPr>
          <w:p w14:paraId="7D0A4CD5"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1636" w:type="dxa"/>
            <w:tcBorders>
              <w:top w:val="nil"/>
              <w:left w:val="nil"/>
              <w:bottom w:val="nil"/>
              <w:right w:val="nil"/>
            </w:tcBorders>
            <w:shd w:val="clear" w:color="000000" w:fill="8497B0"/>
            <w:noWrap/>
            <w:vAlign w:val="bottom"/>
            <w:hideMark/>
          </w:tcPr>
          <w:p w14:paraId="0F327F31"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198" w:type="dxa"/>
            <w:tcBorders>
              <w:top w:val="nil"/>
              <w:left w:val="nil"/>
              <w:bottom w:val="nil"/>
              <w:right w:val="nil"/>
            </w:tcBorders>
            <w:shd w:val="clear" w:color="000000" w:fill="8497B0"/>
            <w:noWrap/>
            <w:vAlign w:val="bottom"/>
            <w:hideMark/>
          </w:tcPr>
          <w:p w14:paraId="1F463F5D"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820" w:type="dxa"/>
            <w:tcBorders>
              <w:top w:val="nil"/>
              <w:left w:val="nil"/>
              <w:bottom w:val="nil"/>
              <w:right w:val="nil"/>
            </w:tcBorders>
            <w:shd w:val="clear" w:color="000000" w:fill="8497B0"/>
            <w:noWrap/>
            <w:vAlign w:val="bottom"/>
            <w:hideMark/>
          </w:tcPr>
          <w:p w14:paraId="64F98DFA"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r>
      <w:tr w:rsidR="00A8494E" w:rsidRPr="00A8494E" w14:paraId="7125CBFD" w14:textId="77777777" w:rsidTr="00A8494E">
        <w:trPr>
          <w:trHeight w:val="274"/>
        </w:trPr>
        <w:tc>
          <w:tcPr>
            <w:tcW w:w="715" w:type="dxa"/>
            <w:tcBorders>
              <w:top w:val="nil"/>
              <w:left w:val="nil"/>
              <w:bottom w:val="nil"/>
              <w:right w:val="nil"/>
            </w:tcBorders>
            <w:noWrap/>
            <w:vAlign w:val="bottom"/>
            <w:hideMark/>
          </w:tcPr>
          <w:p w14:paraId="2F300938" w14:textId="77777777" w:rsidR="00D903A4" w:rsidRPr="00B27552" w:rsidRDefault="00D903A4" w:rsidP="00D903A4">
            <w:pPr>
              <w:spacing w:after="0" w:line="240" w:lineRule="auto"/>
              <w:jc w:val="left"/>
              <w:rPr>
                <w:rFonts w:ascii="Calibri" w:eastAsia="Times New Roman" w:hAnsi="Calibri" w:cs="Calibri"/>
                <w:color w:val="000000"/>
                <w:sz w:val="16"/>
                <w:szCs w:val="16"/>
              </w:rPr>
            </w:pPr>
          </w:p>
        </w:tc>
        <w:tc>
          <w:tcPr>
            <w:tcW w:w="238" w:type="dxa"/>
            <w:tcBorders>
              <w:top w:val="nil"/>
              <w:left w:val="nil"/>
              <w:bottom w:val="nil"/>
              <w:right w:val="nil"/>
            </w:tcBorders>
            <w:noWrap/>
            <w:vAlign w:val="bottom"/>
            <w:hideMark/>
          </w:tcPr>
          <w:p w14:paraId="60DE77CB" w14:textId="77777777" w:rsidR="00D903A4" w:rsidRPr="00B27552" w:rsidRDefault="00D903A4" w:rsidP="00D903A4">
            <w:pPr>
              <w:spacing w:after="0" w:line="240" w:lineRule="auto"/>
              <w:jc w:val="left"/>
              <w:rPr>
                <w:rFonts w:ascii="Times New Roman" w:eastAsia="Times New Roman" w:hAnsi="Times New Roman" w:cs="Times New Roman"/>
                <w:sz w:val="16"/>
                <w:szCs w:val="16"/>
              </w:rPr>
            </w:pPr>
          </w:p>
        </w:tc>
        <w:tc>
          <w:tcPr>
            <w:tcW w:w="4636" w:type="dxa"/>
            <w:tcBorders>
              <w:top w:val="nil"/>
              <w:left w:val="nil"/>
              <w:bottom w:val="nil"/>
              <w:right w:val="nil"/>
            </w:tcBorders>
            <w:noWrap/>
            <w:vAlign w:val="bottom"/>
            <w:hideMark/>
          </w:tcPr>
          <w:p w14:paraId="51A68767" w14:textId="4AA3EB7C"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xml:space="preserve">Average </w:t>
            </w:r>
            <w:r w:rsidR="00EA2724">
              <w:rPr>
                <w:rFonts w:ascii="Calibri" w:eastAsia="Times New Roman" w:hAnsi="Calibri" w:cs="Calibri"/>
                <w:color w:val="000000"/>
                <w:sz w:val="16"/>
                <w:szCs w:val="16"/>
              </w:rPr>
              <w:t>personal income</w:t>
            </w:r>
            <w:r w:rsidRPr="00B27552">
              <w:rPr>
                <w:rFonts w:ascii="Calibri" w:eastAsia="Times New Roman" w:hAnsi="Calibri" w:cs="Calibri"/>
                <w:color w:val="000000"/>
                <w:sz w:val="16"/>
                <w:szCs w:val="16"/>
              </w:rPr>
              <w:t xml:space="preserve"> taxes per capita among impacted HHs</w:t>
            </w:r>
          </w:p>
        </w:tc>
        <w:tc>
          <w:tcPr>
            <w:tcW w:w="208" w:type="dxa"/>
            <w:tcBorders>
              <w:top w:val="nil"/>
              <w:left w:val="nil"/>
              <w:bottom w:val="nil"/>
              <w:right w:val="nil"/>
            </w:tcBorders>
            <w:noWrap/>
            <w:vAlign w:val="bottom"/>
            <w:hideMark/>
          </w:tcPr>
          <w:p w14:paraId="7CA56064" w14:textId="77777777" w:rsidR="00D903A4" w:rsidRPr="00B27552" w:rsidRDefault="00D903A4" w:rsidP="00D903A4">
            <w:pPr>
              <w:spacing w:after="0" w:line="240" w:lineRule="auto"/>
              <w:jc w:val="lef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6F6FE4B2"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15,472</w:t>
            </w:r>
          </w:p>
        </w:tc>
        <w:tc>
          <w:tcPr>
            <w:tcW w:w="198" w:type="dxa"/>
            <w:tcBorders>
              <w:top w:val="nil"/>
              <w:left w:val="nil"/>
              <w:bottom w:val="nil"/>
              <w:right w:val="nil"/>
            </w:tcBorders>
            <w:noWrap/>
            <w:vAlign w:val="bottom"/>
            <w:hideMark/>
          </w:tcPr>
          <w:p w14:paraId="32A570FC"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0FEC31D1"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20,525</w:t>
            </w:r>
          </w:p>
        </w:tc>
        <w:tc>
          <w:tcPr>
            <w:tcW w:w="198" w:type="dxa"/>
            <w:tcBorders>
              <w:top w:val="nil"/>
              <w:left w:val="nil"/>
              <w:bottom w:val="nil"/>
              <w:right w:val="nil"/>
            </w:tcBorders>
            <w:noWrap/>
            <w:vAlign w:val="bottom"/>
            <w:hideMark/>
          </w:tcPr>
          <w:p w14:paraId="733FD03A"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820" w:type="dxa"/>
            <w:tcBorders>
              <w:top w:val="nil"/>
              <w:left w:val="nil"/>
              <w:bottom w:val="nil"/>
              <w:right w:val="nil"/>
            </w:tcBorders>
            <w:noWrap/>
            <w:vAlign w:val="bottom"/>
            <w:hideMark/>
          </w:tcPr>
          <w:p w14:paraId="72242ED6"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32.7%</w:t>
            </w:r>
          </w:p>
        </w:tc>
      </w:tr>
      <w:tr w:rsidR="00A8494E" w:rsidRPr="00A8494E" w14:paraId="58AA7BB3" w14:textId="77777777" w:rsidTr="00A8494E">
        <w:trPr>
          <w:trHeight w:val="274"/>
        </w:trPr>
        <w:tc>
          <w:tcPr>
            <w:tcW w:w="715" w:type="dxa"/>
            <w:tcBorders>
              <w:top w:val="nil"/>
              <w:left w:val="nil"/>
              <w:bottom w:val="nil"/>
              <w:right w:val="nil"/>
            </w:tcBorders>
            <w:noWrap/>
            <w:vAlign w:val="bottom"/>
            <w:hideMark/>
          </w:tcPr>
          <w:p w14:paraId="520F99AD"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238" w:type="dxa"/>
            <w:tcBorders>
              <w:top w:val="nil"/>
              <w:left w:val="nil"/>
              <w:bottom w:val="nil"/>
              <w:right w:val="nil"/>
            </w:tcBorders>
            <w:noWrap/>
            <w:vAlign w:val="bottom"/>
            <w:hideMark/>
          </w:tcPr>
          <w:p w14:paraId="3B8769EC" w14:textId="77777777" w:rsidR="00D903A4" w:rsidRPr="00B27552" w:rsidRDefault="00D903A4" w:rsidP="00D903A4">
            <w:pPr>
              <w:spacing w:after="0" w:line="240" w:lineRule="auto"/>
              <w:jc w:val="left"/>
              <w:rPr>
                <w:rFonts w:ascii="Times New Roman" w:eastAsia="Times New Roman" w:hAnsi="Times New Roman" w:cs="Times New Roman"/>
                <w:sz w:val="16"/>
                <w:szCs w:val="16"/>
              </w:rPr>
            </w:pPr>
          </w:p>
        </w:tc>
        <w:tc>
          <w:tcPr>
            <w:tcW w:w="4636" w:type="dxa"/>
            <w:tcBorders>
              <w:top w:val="nil"/>
              <w:left w:val="nil"/>
              <w:bottom w:val="nil"/>
              <w:right w:val="nil"/>
            </w:tcBorders>
            <w:noWrap/>
            <w:vAlign w:val="bottom"/>
            <w:hideMark/>
          </w:tcPr>
          <w:p w14:paraId="54F76809"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Average direct transfers per capita among impacted HHs</w:t>
            </w:r>
          </w:p>
        </w:tc>
        <w:tc>
          <w:tcPr>
            <w:tcW w:w="208" w:type="dxa"/>
            <w:tcBorders>
              <w:top w:val="nil"/>
              <w:left w:val="nil"/>
              <w:bottom w:val="nil"/>
              <w:right w:val="nil"/>
            </w:tcBorders>
            <w:noWrap/>
            <w:vAlign w:val="bottom"/>
            <w:hideMark/>
          </w:tcPr>
          <w:p w14:paraId="325F114A" w14:textId="77777777" w:rsidR="00D903A4" w:rsidRPr="00B27552" w:rsidRDefault="00D903A4" w:rsidP="00D903A4">
            <w:pPr>
              <w:spacing w:after="0" w:line="240" w:lineRule="auto"/>
              <w:jc w:val="lef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04270C91"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6,031</w:t>
            </w:r>
          </w:p>
        </w:tc>
        <w:tc>
          <w:tcPr>
            <w:tcW w:w="198" w:type="dxa"/>
            <w:tcBorders>
              <w:top w:val="nil"/>
              <w:left w:val="nil"/>
              <w:bottom w:val="nil"/>
              <w:right w:val="nil"/>
            </w:tcBorders>
            <w:noWrap/>
            <w:vAlign w:val="bottom"/>
            <w:hideMark/>
          </w:tcPr>
          <w:p w14:paraId="6919D17E"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1E86BF2B"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4,057</w:t>
            </w:r>
          </w:p>
        </w:tc>
        <w:tc>
          <w:tcPr>
            <w:tcW w:w="198" w:type="dxa"/>
            <w:tcBorders>
              <w:top w:val="nil"/>
              <w:left w:val="nil"/>
              <w:bottom w:val="nil"/>
              <w:right w:val="nil"/>
            </w:tcBorders>
            <w:noWrap/>
            <w:vAlign w:val="bottom"/>
            <w:hideMark/>
          </w:tcPr>
          <w:p w14:paraId="326099C8"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820" w:type="dxa"/>
            <w:tcBorders>
              <w:top w:val="nil"/>
              <w:left w:val="nil"/>
              <w:bottom w:val="nil"/>
              <w:right w:val="nil"/>
            </w:tcBorders>
            <w:noWrap/>
            <w:vAlign w:val="bottom"/>
            <w:hideMark/>
          </w:tcPr>
          <w:p w14:paraId="3EF85A3C"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-32.7%</w:t>
            </w:r>
          </w:p>
        </w:tc>
      </w:tr>
      <w:tr w:rsidR="00A8494E" w:rsidRPr="00A8494E" w14:paraId="261B0F88" w14:textId="77777777" w:rsidTr="00A8494E">
        <w:trPr>
          <w:trHeight w:val="274"/>
        </w:trPr>
        <w:tc>
          <w:tcPr>
            <w:tcW w:w="715" w:type="dxa"/>
            <w:tcBorders>
              <w:top w:val="nil"/>
              <w:left w:val="nil"/>
              <w:bottom w:val="nil"/>
              <w:right w:val="nil"/>
            </w:tcBorders>
            <w:noWrap/>
            <w:vAlign w:val="bottom"/>
            <w:hideMark/>
          </w:tcPr>
          <w:p w14:paraId="1F585BF2"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238" w:type="dxa"/>
            <w:tcBorders>
              <w:top w:val="nil"/>
              <w:left w:val="nil"/>
              <w:bottom w:val="nil"/>
              <w:right w:val="nil"/>
            </w:tcBorders>
            <w:noWrap/>
            <w:vAlign w:val="bottom"/>
            <w:hideMark/>
          </w:tcPr>
          <w:p w14:paraId="1BCC0532" w14:textId="77777777" w:rsidR="00D903A4" w:rsidRPr="00B27552" w:rsidRDefault="00D903A4" w:rsidP="00D903A4">
            <w:pPr>
              <w:spacing w:after="0" w:line="240" w:lineRule="auto"/>
              <w:jc w:val="left"/>
              <w:rPr>
                <w:rFonts w:ascii="Times New Roman" w:eastAsia="Times New Roman" w:hAnsi="Times New Roman" w:cs="Times New Roman"/>
                <w:sz w:val="16"/>
                <w:szCs w:val="16"/>
              </w:rPr>
            </w:pPr>
          </w:p>
        </w:tc>
        <w:tc>
          <w:tcPr>
            <w:tcW w:w="4636" w:type="dxa"/>
            <w:tcBorders>
              <w:top w:val="nil"/>
              <w:left w:val="nil"/>
              <w:bottom w:val="nil"/>
              <w:right w:val="nil"/>
            </w:tcBorders>
            <w:noWrap/>
            <w:vAlign w:val="bottom"/>
            <w:hideMark/>
          </w:tcPr>
          <w:p w14:paraId="7CEFFE11" w14:textId="2CD048B0"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xml:space="preserve">Total government revenue from </w:t>
            </w:r>
            <w:r w:rsidR="00E96281">
              <w:rPr>
                <w:rFonts w:ascii="Calibri" w:eastAsia="Times New Roman" w:hAnsi="Calibri" w:cs="Calibri"/>
                <w:color w:val="000000"/>
                <w:sz w:val="16"/>
                <w:szCs w:val="16"/>
              </w:rPr>
              <w:t xml:space="preserve">personal income </w:t>
            </w:r>
            <w:r w:rsidRPr="00B27552">
              <w:rPr>
                <w:rFonts w:ascii="Calibri" w:eastAsia="Times New Roman" w:hAnsi="Calibri" w:cs="Calibri"/>
                <w:color w:val="000000"/>
                <w:sz w:val="16"/>
                <w:szCs w:val="16"/>
              </w:rPr>
              <w:t>taxes</w:t>
            </w:r>
          </w:p>
        </w:tc>
        <w:tc>
          <w:tcPr>
            <w:tcW w:w="208" w:type="dxa"/>
            <w:tcBorders>
              <w:top w:val="nil"/>
              <w:left w:val="nil"/>
              <w:bottom w:val="nil"/>
              <w:right w:val="nil"/>
            </w:tcBorders>
            <w:noWrap/>
            <w:vAlign w:val="bottom"/>
            <w:hideMark/>
          </w:tcPr>
          <w:p w14:paraId="1DF2C724" w14:textId="77777777" w:rsidR="00D903A4" w:rsidRPr="00B27552" w:rsidRDefault="00D903A4" w:rsidP="00D903A4">
            <w:pPr>
              <w:spacing w:after="0" w:line="240" w:lineRule="auto"/>
              <w:jc w:val="lef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05CE7863"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53,134,487,318</w:t>
            </w:r>
          </w:p>
        </w:tc>
        <w:tc>
          <w:tcPr>
            <w:tcW w:w="198" w:type="dxa"/>
            <w:tcBorders>
              <w:top w:val="nil"/>
              <w:left w:val="nil"/>
              <w:bottom w:val="nil"/>
              <w:right w:val="nil"/>
            </w:tcBorders>
            <w:noWrap/>
            <w:vAlign w:val="bottom"/>
            <w:hideMark/>
          </w:tcPr>
          <w:p w14:paraId="5CED2C4E"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1636" w:type="dxa"/>
            <w:tcBorders>
              <w:top w:val="nil"/>
              <w:left w:val="nil"/>
              <w:bottom w:val="nil"/>
              <w:right w:val="nil"/>
            </w:tcBorders>
            <w:noWrap/>
            <w:vAlign w:val="bottom"/>
            <w:hideMark/>
          </w:tcPr>
          <w:p w14:paraId="11C98AF9"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53,294,934,684</w:t>
            </w:r>
          </w:p>
        </w:tc>
        <w:tc>
          <w:tcPr>
            <w:tcW w:w="198" w:type="dxa"/>
            <w:tcBorders>
              <w:top w:val="nil"/>
              <w:left w:val="nil"/>
              <w:bottom w:val="nil"/>
              <w:right w:val="nil"/>
            </w:tcBorders>
            <w:noWrap/>
            <w:vAlign w:val="bottom"/>
            <w:hideMark/>
          </w:tcPr>
          <w:p w14:paraId="7BE535BD"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820" w:type="dxa"/>
            <w:tcBorders>
              <w:top w:val="nil"/>
              <w:left w:val="nil"/>
              <w:bottom w:val="nil"/>
              <w:right w:val="nil"/>
            </w:tcBorders>
            <w:noWrap/>
            <w:vAlign w:val="bottom"/>
            <w:hideMark/>
          </w:tcPr>
          <w:p w14:paraId="234B9836"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0.3%</w:t>
            </w:r>
          </w:p>
        </w:tc>
      </w:tr>
      <w:tr w:rsidR="00A8494E" w:rsidRPr="00A8494E" w14:paraId="19BDBEB0" w14:textId="77777777" w:rsidTr="00A8494E">
        <w:trPr>
          <w:trHeight w:val="274"/>
        </w:trPr>
        <w:tc>
          <w:tcPr>
            <w:tcW w:w="715" w:type="dxa"/>
            <w:tcBorders>
              <w:top w:val="nil"/>
              <w:left w:val="nil"/>
              <w:bottom w:val="nil"/>
              <w:right w:val="nil"/>
            </w:tcBorders>
            <w:noWrap/>
            <w:vAlign w:val="bottom"/>
            <w:hideMark/>
          </w:tcPr>
          <w:p w14:paraId="772FABEB" w14:textId="77777777" w:rsidR="00D903A4" w:rsidRPr="00B27552" w:rsidRDefault="00D903A4" w:rsidP="00D903A4">
            <w:pPr>
              <w:spacing w:after="0" w:line="240" w:lineRule="auto"/>
              <w:jc w:val="right"/>
              <w:rPr>
                <w:rFonts w:ascii="Calibri" w:eastAsia="Times New Roman" w:hAnsi="Calibri" w:cs="Calibri"/>
                <w:color w:val="000000"/>
                <w:sz w:val="16"/>
                <w:szCs w:val="16"/>
              </w:rPr>
            </w:pPr>
          </w:p>
        </w:tc>
        <w:tc>
          <w:tcPr>
            <w:tcW w:w="238" w:type="dxa"/>
            <w:tcBorders>
              <w:top w:val="nil"/>
              <w:left w:val="nil"/>
              <w:bottom w:val="single" w:sz="4" w:space="0" w:color="auto"/>
              <w:right w:val="nil"/>
            </w:tcBorders>
            <w:noWrap/>
            <w:vAlign w:val="bottom"/>
            <w:hideMark/>
          </w:tcPr>
          <w:p w14:paraId="7AE35C90"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4636" w:type="dxa"/>
            <w:tcBorders>
              <w:top w:val="nil"/>
              <w:left w:val="nil"/>
              <w:bottom w:val="single" w:sz="4" w:space="0" w:color="auto"/>
              <w:right w:val="nil"/>
            </w:tcBorders>
            <w:noWrap/>
            <w:vAlign w:val="bottom"/>
            <w:hideMark/>
          </w:tcPr>
          <w:p w14:paraId="7F630CCD"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Total government spending on direct transfers</w:t>
            </w:r>
          </w:p>
        </w:tc>
        <w:tc>
          <w:tcPr>
            <w:tcW w:w="208" w:type="dxa"/>
            <w:tcBorders>
              <w:top w:val="nil"/>
              <w:left w:val="nil"/>
              <w:bottom w:val="single" w:sz="4" w:space="0" w:color="auto"/>
              <w:right w:val="nil"/>
            </w:tcBorders>
            <w:noWrap/>
            <w:vAlign w:val="bottom"/>
            <w:hideMark/>
          </w:tcPr>
          <w:p w14:paraId="15EF047E"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1636" w:type="dxa"/>
            <w:tcBorders>
              <w:top w:val="nil"/>
              <w:left w:val="nil"/>
              <w:bottom w:val="single" w:sz="4" w:space="0" w:color="auto"/>
              <w:right w:val="nil"/>
            </w:tcBorders>
            <w:noWrap/>
            <w:vAlign w:val="bottom"/>
            <w:hideMark/>
          </w:tcPr>
          <w:p w14:paraId="0D8C1E88"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19,257,633,259</w:t>
            </w:r>
          </w:p>
        </w:tc>
        <w:tc>
          <w:tcPr>
            <w:tcW w:w="198" w:type="dxa"/>
            <w:tcBorders>
              <w:top w:val="nil"/>
              <w:left w:val="nil"/>
              <w:bottom w:val="single" w:sz="4" w:space="0" w:color="auto"/>
              <w:right w:val="nil"/>
            </w:tcBorders>
            <w:noWrap/>
            <w:vAlign w:val="bottom"/>
            <w:hideMark/>
          </w:tcPr>
          <w:p w14:paraId="537C0931"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1636" w:type="dxa"/>
            <w:tcBorders>
              <w:top w:val="nil"/>
              <w:left w:val="nil"/>
              <w:bottom w:val="single" w:sz="4" w:space="0" w:color="auto"/>
              <w:right w:val="nil"/>
            </w:tcBorders>
            <w:noWrap/>
            <w:vAlign w:val="bottom"/>
            <w:hideMark/>
          </w:tcPr>
          <w:p w14:paraId="58798912"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19,070,718,260</w:t>
            </w:r>
          </w:p>
        </w:tc>
        <w:tc>
          <w:tcPr>
            <w:tcW w:w="198" w:type="dxa"/>
            <w:tcBorders>
              <w:top w:val="nil"/>
              <w:left w:val="nil"/>
              <w:bottom w:val="single" w:sz="4" w:space="0" w:color="auto"/>
              <w:right w:val="nil"/>
            </w:tcBorders>
            <w:noWrap/>
            <w:vAlign w:val="bottom"/>
            <w:hideMark/>
          </w:tcPr>
          <w:p w14:paraId="498C636F" w14:textId="77777777" w:rsidR="00D903A4" w:rsidRPr="00B27552" w:rsidRDefault="00D903A4" w:rsidP="00D903A4">
            <w:pPr>
              <w:spacing w:after="0" w:line="240" w:lineRule="auto"/>
              <w:jc w:val="left"/>
              <w:rPr>
                <w:rFonts w:ascii="Calibri" w:eastAsia="Times New Roman" w:hAnsi="Calibri" w:cs="Calibri"/>
                <w:color w:val="000000"/>
                <w:sz w:val="16"/>
                <w:szCs w:val="16"/>
              </w:rPr>
            </w:pPr>
            <w:r w:rsidRPr="00B27552">
              <w:rPr>
                <w:rFonts w:ascii="Calibri" w:eastAsia="Times New Roman" w:hAnsi="Calibri" w:cs="Calibri"/>
                <w:color w:val="000000"/>
                <w:sz w:val="16"/>
                <w:szCs w:val="16"/>
              </w:rPr>
              <w:t> </w:t>
            </w:r>
          </w:p>
        </w:tc>
        <w:tc>
          <w:tcPr>
            <w:tcW w:w="820" w:type="dxa"/>
            <w:tcBorders>
              <w:top w:val="nil"/>
              <w:left w:val="nil"/>
              <w:bottom w:val="single" w:sz="4" w:space="0" w:color="auto"/>
              <w:right w:val="nil"/>
            </w:tcBorders>
            <w:noWrap/>
            <w:vAlign w:val="bottom"/>
            <w:hideMark/>
          </w:tcPr>
          <w:p w14:paraId="29CF88BF" w14:textId="77777777" w:rsidR="00D903A4" w:rsidRPr="00B27552" w:rsidRDefault="00D903A4" w:rsidP="00D903A4">
            <w:pPr>
              <w:spacing w:after="0" w:line="240" w:lineRule="auto"/>
              <w:jc w:val="right"/>
              <w:rPr>
                <w:rFonts w:ascii="Calibri" w:eastAsia="Times New Roman" w:hAnsi="Calibri" w:cs="Calibri"/>
                <w:color w:val="000000"/>
                <w:sz w:val="16"/>
                <w:szCs w:val="16"/>
              </w:rPr>
            </w:pPr>
            <w:r w:rsidRPr="00B27552">
              <w:rPr>
                <w:rFonts w:ascii="Calibri" w:eastAsia="Times New Roman" w:hAnsi="Calibri" w:cs="Calibri"/>
                <w:color w:val="000000"/>
                <w:sz w:val="16"/>
                <w:szCs w:val="16"/>
              </w:rPr>
              <w:t>-1.0%</w:t>
            </w:r>
          </w:p>
        </w:tc>
      </w:tr>
    </w:tbl>
    <w:p w14:paraId="49075FE6" w14:textId="77777777" w:rsidR="00F665F1" w:rsidRDefault="00F665F1" w:rsidP="006E7D82">
      <w:pPr>
        <w:pStyle w:val="Heading2"/>
      </w:pPr>
    </w:p>
    <w:p w14:paraId="3B8A4516" w14:textId="43B611DB" w:rsidR="004831F0" w:rsidRPr="005F0220" w:rsidRDefault="004831F0" w:rsidP="00F665F1">
      <w:pPr>
        <w:pStyle w:val="Heading2"/>
        <w:numPr>
          <w:ilvl w:val="0"/>
          <w:numId w:val="5"/>
        </w:numPr>
      </w:pPr>
      <w:bookmarkStart w:id="20" w:name="_Toc136425149"/>
      <w:r>
        <w:t xml:space="preserve">Discussion of results and </w:t>
      </w:r>
      <w:r w:rsidR="00BD2B12">
        <w:t xml:space="preserve">areas for </w:t>
      </w:r>
      <w:r>
        <w:t xml:space="preserve">future </w:t>
      </w:r>
      <w:r w:rsidR="00BD2B12">
        <w:t>work</w:t>
      </w:r>
      <w:bookmarkEnd w:id="20"/>
    </w:p>
    <w:p w14:paraId="0B05F8BF" w14:textId="3BD035DD" w:rsidR="00DD38A4" w:rsidRPr="005948B9" w:rsidRDefault="00CA3B44" w:rsidP="00096AA3">
      <w:pPr>
        <w:pStyle w:val="ListParagraph"/>
        <w:spacing w:before="120" w:after="120" w:line="257" w:lineRule="auto"/>
        <w:ind w:left="0"/>
        <w:contextualSpacing w:val="0"/>
      </w:pPr>
      <w:r w:rsidRPr="005948B9">
        <w:rPr>
          <w:b/>
          <w:bCs/>
        </w:rPr>
        <w:t xml:space="preserve">Incorporation </w:t>
      </w:r>
      <w:r w:rsidR="00BD1EA3" w:rsidRPr="005948B9">
        <w:rPr>
          <w:b/>
          <w:bCs/>
        </w:rPr>
        <w:t>of</w:t>
      </w:r>
      <w:r w:rsidRPr="005948B9">
        <w:rPr>
          <w:b/>
          <w:bCs/>
        </w:rPr>
        <w:t xml:space="preserve"> a gender equality perspective into incidence fiscal analysis can significantly improve the quality of public policy and help promote sustainable economic growth and poverty reduction.</w:t>
      </w:r>
      <w:r w:rsidR="008E3A65" w:rsidRPr="005948B9">
        <w:t xml:space="preserve"> </w:t>
      </w:r>
      <w:r w:rsidR="008E3A65" w:rsidRPr="005948B9">
        <w:rPr>
          <w:rFonts w:ascii="Calibri" w:hAnsi="Calibri" w:cs="Calibri"/>
        </w:rPr>
        <w:t xml:space="preserve">In </w:t>
      </w:r>
      <w:proofErr w:type="gramStart"/>
      <w:r w:rsidR="008E3A65" w:rsidRPr="005948B9">
        <w:rPr>
          <w:rFonts w:ascii="Calibri" w:hAnsi="Calibri" w:cs="Calibri"/>
        </w:rPr>
        <w:t>a context</w:t>
      </w:r>
      <w:proofErr w:type="gramEnd"/>
      <w:r w:rsidR="008E3A65" w:rsidRPr="005948B9">
        <w:rPr>
          <w:rFonts w:ascii="Calibri" w:hAnsi="Calibri" w:cs="Calibri"/>
        </w:rPr>
        <w:t xml:space="preserve"> of fiscal consolidation, </w:t>
      </w:r>
      <w:r w:rsidR="008E3A65" w:rsidRPr="005948B9">
        <w:t xml:space="preserve">policy interventions in the areas of government spending and taxation </w:t>
      </w:r>
      <w:r w:rsidR="0018190B" w:rsidRPr="005948B9">
        <w:t>would need to be designed in a way that avoids</w:t>
      </w:r>
      <w:r w:rsidR="008E3A65" w:rsidRPr="005948B9">
        <w:t xml:space="preserve"> negative </w:t>
      </w:r>
      <w:r w:rsidR="0018190B" w:rsidRPr="005948B9">
        <w:t>e</w:t>
      </w:r>
      <w:r w:rsidR="008E3A65" w:rsidRPr="005948B9">
        <w:t>ffect</w:t>
      </w:r>
      <w:r w:rsidR="0018190B" w:rsidRPr="005948B9">
        <w:t>s</w:t>
      </w:r>
      <w:r w:rsidR="008E3A65" w:rsidRPr="005948B9">
        <w:t xml:space="preserve"> </w:t>
      </w:r>
      <w:r w:rsidR="0018190B" w:rsidRPr="005948B9">
        <w:t>on</w:t>
      </w:r>
      <w:r w:rsidR="008E3A65" w:rsidRPr="005948B9">
        <w:t xml:space="preserve"> desired </w:t>
      </w:r>
      <w:r w:rsidR="00650DF0" w:rsidRPr="005948B9">
        <w:t xml:space="preserve">gender equality </w:t>
      </w:r>
      <w:r w:rsidR="008E3A65" w:rsidRPr="005948B9">
        <w:t>outcomes.</w:t>
      </w:r>
    </w:p>
    <w:p w14:paraId="31E213D6" w14:textId="131D67E2" w:rsidR="00524648" w:rsidRPr="00E47790" w:rsidRDefault="00BA23DD" w:rsidP="00096AA3">
      <w:pPr>
        <w:pStyle w:val="ListParagraph"/>
        <w:spacing w:before="120" w:after="120" w:line="257" w:lineRule="auto"/>
        <w:ind w:left="0"/>
        <w:contextualSpacing w:val="0"/>
        <w:rPr>
          <w:highlight w:val="yellow"/>
        </w:rPr>
      </w:pPr>
      <w:r w:rsidRPr="005948B9">
        <w:rPr>
          <w:b/>
          <w:bCs/>
        </w:rPr>
        <w:t>B</w:t>
      </w:r>
      <w:r w:rsidR="0018190B" w:rsidRPr="005948B9">
        <w:rPr>
          <w:b/>
          <w:bCs/>
        </w:rPr>
        <w:t>uilding</w:t>
      </w:r>
      <w:r w:rsidRPr="005948B9">
        <w:rPr>
          <w:b/>
          <w:bCs/>
        </w:rPr>
        <w:t xml:space="preserve"> on the constructed economic typology of households </w:t>
      </w:r>
      <w:r w:rsidR="0012019E" w:rsidRPr="005948B9">
        <w:rPr>
          <w:b/>
          <w:bCs/>
        </w:rPr>
        <w:t xml:space="preserve">according </w:t>
      </w:r>
      <w:r w:rsidR="0018190B" w:rsidRPr="005948B9">
        <w:rPr>
          <w:b/>
          <w:bCs/>
        </w:rPr>
        <w:t xml:space="preserve">to </w:t>
      </w:r>
      <w:r w:rsidR="0012019E" w:rsidRPr="005948B9">
        <w:rPr>
          <w:b/>
          <w:bCs/>
        </w:rPr>
        <w:t>male</w:t>
      </w:r>
      <w:r w:rsidRPr="005948B9">
        <w:rPr>
          <w:b/>
          <w:bCs/>
        </w:rPr>
        <w:t xml:space="preserve"> and female labor earnings, this work f</w:t>
      </w:r>
      <w:r w:rsidR="00563481" w:rsidRPr="005948B9">
        <w:rPr>
          <w:b/>
          <w:bCs/>
        </w:rPr>
        <w:t xml:space="preserve">inds </w:t>
      </w:r>
      <w:r w:rsidR="004E2F23" w:rsidRPr="005948B9">
        <w:rPr>
          <w:b/>
          <w:bCs/>
        </w:rPr>
        <w:t xml:space="preserve">preliminary evidence of </w:t>
      </w:r>
      <w:r w:rsidR="00CC69E2" w:rsidRPr="005948B9">
        <w:rPr>
          <w:b/>
          <w:bCs/>
        </w:rPr>
        <w:t>different</w:t>
      </w:r>
      <w:r w:rsidR="000F5EC6" w:rsidRPr="005948B9">
        <w:rPr>
          <w:b/>
          <w:bCs/>
        </w:rPr>
        <w:t>iated</w:t>
      </w:r>
      <w:r w:rsidR="00CC69E2" w:rsidRPr="005948B9">
        <w:rPr>
          <w:b/>
          <w:bCs/>
        </w:rPr>
        <w:t xml:space="preserve"> incidence of fiscal policies across </w:t>
      </w:r>
      <w:r w:rsidR="00366FC9" w:rsidRPr="005948B9">
        <w:rPr>
          <w:b/>
          <w:bCs/>
        </w:rPr>
        <w:t xml:space="preserve">population living in </w:t>
      </w:r>
      <w:r w:rsidR="00EB1BCF" w:rsidRPr="005948B9">
        <w:rPr>
          <w:b/>
          <w:bCs/>
        </w:rPr>
        <w:t>households with male, female or dual labor income earners in Uruguay.</w:t>
      </w:r>
      <w:r w:rsidR="00EB1BCF" w:rsidRPr="005948B9">
        <w:t xml:space="preserve"> </w:t>
      </w:r>
    </w:p>
    <w:p w14:paraId="51550150" w14:textId="5372B6B5" w:rsidR="00D60B58" w:rsidRPr="00655866" w:rsidRDefault="005A5741" w:rsidP="001842E6">
      <w:pPr>
        <w:rPr>
          <w:rFonts w:ascii="Calibri" w:hAnsi="Calibri" w:cs="Calibri"/>
        </w:rPr>
      </w:pPr>
      <w:r w:rsidRPr="008A72D1">
        <w:rPr>
          <w:rFonts w:ascii="Calibri" w:hAnsi="Calibri" w:cs="Calibri"/>
          <w:b/>
          <w:bCs/>
        </w:rPr>
        <w:t xml:space="preserve">Considering the </w:t>
      </w:r>
      <w:r w:rsidRPr="008A72D1">
        <w:rPr>
          <w:b/>
        </w:rPr>
        <w:t>distributional</w:t>
      </w:r>
      <w:r w:rsidRPr="008A72D1">
        <w:rPr>
          <w:rFonts w:ascii="Calibri" w:hAnsi="Calibri" w:cs="Calibri"/>
          <w:b/>
          <w:bCs/>
        </w:rPr>
        <w:t xml:space="preserve"> impact of the existing fiscal system and the potential impact of proposed reforms, this </w:t>
      </w:r>
      <w:r w:rsidR="003803DA" w:rsidRPr="008A72D1">
        <w:rPr>
          <w:rFonts w:ascii="Calibri" w:hAnsi="Calibri" w:cs="Calibri"/>
          <w:b/>
          <w:bCs/>
        </w:rPr>
        <w:t>work</w:t>
      </w:r>
      <w:r w:rsidRPr="008A72D1">
        <w:rPr>
          <w:rFonts w:ascii="Calibri" w:hAnsi="Calibri" w:cs="Calibri"/>
          <w:b/>
          <w:bCs/>
        </w:rPr>
        <w:t xml:space="preserve"> provides an analytical framework to deepen the analytical work on gender, public spending</w:t>
      </w:r>
      <w:r w:rsidR="00EA0338">
        <w:rPr>
          <w:rFonts w:ascii="Calibri" w:hAnsi="Calibri" w:cs="Calibri"/>
          <w:b/>
          <w:bCs/>
        </w:rPr>
        <w:t>,</w:t>
      </w:r>
      <w:r w:rsidRPr="008A72D1">
        <w:rPr>
          <w:rFonts w:ascii="Calibri" w:hAnsi="Calibri" w:cs="Calibri"/>
          <w:b/>
          <w:bCs/>
        </w:rPr>
        <w:t xml:space="preserve"> and taxation.</w:t>
      </w:r>
      <w:r w:rsidR="005032DB" w:rsidRPr="008A72D1">
        <w:rPr>
          <w:rFonts w:ascii="Calibri" w:hAnsi="Calibri" w:cs="Calibri"/>
        </w:rPr>
        <w:t xml:space="preserve"> </w:t>
      </w:r>
      <w:r w:rsidR="001615C1" w:rsidRPr="008A72D1">
        <w:rPr>
          <w:rFonts w:ascii="Calibri" w:hAnsi="Calibri" w:cs="Calibri"/>
        </w:rPr>
        <w:t>Next steps involve</w:t>
      </w:r>
      <w:r w:rsidR="00636CE2" w:rsidRPr="008A72D1">
        <w:rPr>
          <w:rFonts w:ascii="Calibri" w:hAnsi="Calibri" w:cs="Calibri"/>
        </w:rPr>
        <w:t xml:space="preserve"> </w:t>
      </w:r>
      <w:r w:rsidR="00636CE2" w:rsidRPr="008A72D1">
        <w:t>exploring gender-equalizing effects of direct taxation</w:t>
      </w:r>
      <w:r w:rsidR="005F5E1E" w:rsidRPr="008A72D1">
        <w:t xml:space="preserve"> policies such as </w:t>
      </w:r>
      <w:proofErr w:type="gramStart"/>
      <w:r w:rsidR="005F5E1E" w:rsidRPr="008A72D1">
        <w:t>PIT</w:t>
      </w:r>
      <w:r w:rsidR="00FA46D8" w:rsidRPr="008A72D1">
        <w:t xml:space="preserve">, </w:t>
      </w:r>
      <w:r w:rsidR="005F5E1E" w:rsidRPr="008A72D1">
        <w:t>and</w:t>
      </w:r>
      <w:proofErr w:type="gramEnd"/>
      <w:r w:rsidR="005F5E1E" w:rsidRPr="008A72D1">
        <w:t xml:space="preserve"> estimating</w:t>
      </w:r>
      <w:r w:rsidR="0019452C" w:rsidRPr="008A72D1">
        <w:t xml:space="preserve"> gender gaps in pre-fiscal (market) income and disposable income (post taxes and benefits)</w:t>
      </w:r>
      <w:r w:rsidR="00F14054" w:rsidRPr="008A72D1">
        <w:t xml:space="preserve"> to </w:t>
      </w:r>
      <w:r w:rsidR="00166D13" w:rsidRPr="008A72D1">
        <w:t xml:space="preserve">provide evidence on whether the direct tax-benefit system in Uruguay helps closing income gender gaps. </w:t>
      </w:r>
      <w:r w:rsidR="008A72D1" w:rsidRPr="008A72D1">
        <w:t xml:space="preserve">The fiscal incidence analysis will also be deepened by controlling by income, as it is likely to correlate to different household types. </w:t>
      </w:r>
      <w:r w:rsidR="00D256B5" w:rsidRPr="008A72D1">
        <w:rPr>
          <w:rFonts w:ascii="Calibri" w:hAnsi="Calibri" w:cs="Calibri"/>
        </w:rPr>
        <w:t>Advancing the proposed analysis</w:t>
      </w:r>
      <w:r w:rsidRPr="008A72D1">
        <w:rPr>
          <w:rFonts w:ascii="Calibri" w:hAnsi="Calibri" w:cs="Calibri"/>
        </w:rPr>
        <w:t xml:space="preserve"> will </w:t>
      </w:r>
      <w:r w:rsidR="00940761" w:rsidRPr="008A72D1">
        <w:rPr>
          <w:rFonts w:ascii="Calibri" w:hAnsi="Calibri" w:cs="Calibri"/>
        </w:rPr>
        <w:t xml:space="preserve">inform </w:t>
      </w:r>
      <w:r w:rsidRPr="008A72D1">
        <w:rPr>
          <w:rFonts w:ascii="Calibri" w:hAnsi="Calibri" w:cs="Calibri"/>
        </w:rPr>
        <w:t xml:space="preserve">fiscal consolidation </w:t>
      </w:r>
      <w:r w:rsidR="00940761" w:rsidRPr="008A72D1">
        <w:rPr>
          <w:rFonts w:ascii="Calibri" w:hAnsi="Calibri" w:cs="Calibri"/>
        </w:rPr>
        <w:t>choices</w:t>
      </w:r>
      <w:r w:rsidRPr="008A72D1">
        <w:rPr>
          <w:rFonts w:ascii="Calibri" w:hAnsi="Calibri" w:cs="Calibri"/>
        </w:rPr>
        <w:t xml:space="preserve">, </w:t>
      </w:r>
      <w:r w:rsidR="00C067A9" w:rsidRPr="008A72D1">
        <w:rPr>
          <w:rFonts w:ascii="Calibri" w:hAnsi="Calibri" w:cs="Calibri"/>
        </w:rPr>
        <w:t xml:space="preserve">the design </w:t>
      </w:r>
      <w:r w:rsidRPr="008A72D1">
        <w:rPr>
          <w:rFonts w:ascii="Calibri" w:hAnsi="Calibri" w:cs="Calibri"/>
        </w:rPr>
        <w:t xml:space="preserve">of </w:t>
      </w:r>
      <w:r w:rsidR="00CC17FA" w:rsidRPr="008A72D1">
        <w:rPr>
          <w:rFonts w:ascii="Calibri" w:hAnsi="Calibri" w:cs="Calibri"/>
        </w:rPr>
        <w:t xml:space="preserve">specific fiscal policies and public programs such as </w:t>
      </w:r>
      <w:r w:rsidR="00F56977" w:rsidRPr="008A72D1">
        <w:rPr>
          <w:rFonts w:ascii="Calibri" w:hAnsi="Calibri" w:cs="Calibri"/>
        </w:rPr>
        <w:t xml:space="preserve">those aimed at </w:t>
      </w:r>
      <w:r w:rsidRPr="008A72D1">
        <w:rPr>
          <w:rFonts w:ascii="Calibri" w:hAnsi="Calibri" w:cs="Calibri"/>
        </w:rPr>
        <w:lastRenderedPageBreak/>
        <w:t>social protection and</w:t>
      </w:r>
      <w:r w:rsidR="000521CB" w:rsidRPr="008A72D1">
        <w:rPr>
          <w:rFonts w:ascii="Calibri" w:hAnsi="Calibri" w:cs="Calibri"/>
        </w:rPr>
        <w:t xml:space="preserve"> increase our </w:t>
      </w:r>
      <w:r w:rsidR="003D3799" w:rsidRPr="008A72D1">
        <w:rPr>
          <w:rFonts w:ascii="Calibri" w:hAnsi="Calibri" w:cs="Calibri"/>
        </w:rPr>
        <w:t xml:space="preserve">understanding the </w:t>
      </w:r>
      <w:r w:rsidR="00271776" w:rsidRPr="008A72D1">
        <w:rPr>
          <w:rFonts w:ascii="Calibri" w:hAnsi="Calibri" w:cs="Calibri"/>
        </w:rPr>
        <w:t xml:space="preserve">links </w:t>
      </w:r>
      <w:r w:rsidR="002A4988" w:rsidRPr="008A72D1">
        <w:rPr>
          <w:rFonts w:ascii="Calibri" w:hAnsi="Calibri" w:cs="Calibri"/>
        </w:rPr>
        <w:t xml:space="preserve">between fiscal policy and female outcomes in the labor </w:t>
      </w:r>
      <w:r w:rsidR="00F56977" w:rsidRPr="008A72D1">
        <w:rPr>
          <w:rFonts w:ascii="Calibri" w:hAnsi="Calibri" w:cs="Calibri"/>
        </w:rPr>
        <w:t>market.</w:t>
      </w:r>
      <w:r w:rsidR="00D60B58">
        <w:rPr>
          <w:rFonts w:ascii="Calibri" w:hAnsi="Calibri" w:cs="Calibri"/>
        </w:rPr>
        <w:br w:type="page"/>
      </w:r>
    </w:p>
    <w:p w14:paraId="65FEEA2F" w14:textId="10E1269E" w:rsidR="0038278B" w:rsidRDefault="0038278B" w:rsidP="00B236EA">
      <w:pPr>
        <w:pStyle w:val="Heading2"/>
      </w:pPr>
      <w:bookmarkStart w:id="21" w:name="_Toc136425150"/>
      <w:r w:rsidRPr="009E531C">
        <w:lastRenderedPageBreak/>
        <w:t>R</w:t>
      </w:r>
      <w:r w:rsidR="00762C18">
        <w:t>eferences</w:t>
      </w:r>
      <w:bookmarkEnd w:id="21"/>
    </w:p>
    <w:p w14:paraId="5171CF97" w14:textId="77777777" w:rsidR="00B236EA" w:rsidRPr="00762C18" w:rsidRDefault="00B236EA" w:rsidP="00762C18"/>
    <w:p w14:paraId="4C0199EB" w14:textId="77777777" w:rsidR="00B53CA2" w:rsidRDefault="00893E0B" w:rsidP="00F65304">
      <w:pPr>
        <w:spacing w:line="257" w:lineRule="auto"/>
        <w:ind w:left="720" w:hanging="720"/>
      </w:pPr>
      <w:r>
        <w:t>Aziz, O. N. Gemmell and A. Laws (2013). “The Distribution of Income and Fiscal Incidence by Age and Gender: Some Evidence from New Zealand” Working Papers in Public Finances, Victoria University of Wellington, WORKING PAPER 10/2013, June 2013</w:t>
      </w:r>
    </w:p>
    <w:p w14:paraId="7E271C4D" w14:textId="190ABD01" w:rsidR="00B53CA2" w:rsidRPr="00B53CA2" w:rsidRDefault="00B53CA2" w:rsidP="00F65304">
      <w:pPr>
        <w:spacing w:line="257" w:lineRule="auto"/>
        <w:ind w:left="720" w:hanging="720"/>
      </w:pPr>
      <w:r w:rsidRPr="00532F60">
        <w:t>Bucheli, M., N. Lustig, M. Rossi, and F</w:t>
      </w:r>
      <w:r>
        <w:t>.</w:t>
      </w:r>
      <w:r w:rsidRPr="00532F60">
        <w:t xml:space="preserve"> Amábile. </w:t>
      </w:r>
      <w:r>
        <w:t>2014. “Social Spending, Taxes and Income Redistribution in Uruguay.” Public Finance Review 42 (3): 413–33.</w:t>
      </w:r>
    </w:p>
    <w:p w14:paraId="342EB01D" w14:textId="3D75B906" w:rsidR="00B53CA2" w:rsidRDefault="00B53CA2" w:rsidP="00F65304">
      <w:pPr>
        <w:spacing w:line="257" w:lineRule="auto"/>
        <w:ind w:left="720" w:hanging="720"/>
        <w:rPr>
          <w:rFonts w:cstheme="minorHAnsi"/>
          <w:color w:val="222222"/>
          <w:shd w:val="clear" w:color="auto" w:fill="FFFFFF"/>
        </w:rPr>
      </w:pPr>
      <w:r w:rsidRPr="00C835BA">
        <w:rPr>
          <w:rFonts w:cstheme="minorHAnsi"/>
          <w:color w:val="222222"/>
          <w:shd w:val="clear" w:color="auto" w:fill="FFFFFF"/>
        </w:rPr>
        <w:t xml:space="preserve">Bucheli, M., Lara Ibarra, G., &amp; Tuzman, D. (2020). </w:t>
      </w:r>
      <w:r>
        <w:rPr>
          <w:rFonts w:cstheme="minorHAnsi"/>
          <w:color w:val="222222"/>
          <w:shd w:val="clear" w:color="auto" w:fill="FFFFFF"/>
        </w:rPr>
        <w:t>“</w:t>
      </w:r>
      <w:r w:rsidRPr="0029502D">
        <w:rPr>
          <w:rFonts w:cstheme="minorHAnsi"/>
          <w:color w:val="222222"/>
          <w:shd w:val="clear" w:color="auto" w:fill="FFFFFF"/>
        </w:rPr>
        <w:t>Assessing the Effects of Fiscal Policies on Poverty and Inequality</w:t>
      </w:r>
      <w:r>
        <w:rPr>
          <w:rFonts w:cstheme="minorHAnsi"/>
          <w:color w:val="222222"/>
          <w:shd w:val="clear" w:color="auto" w:fill="FFFFFF"/>
        </w:rPr>
        <w:t>”, Washington, D.C., 2020</w:t>
      </w:r>
      <w:r w:rsidRPr="0029502D">
        <w:rPr>
          <w:rFonts w:cstheme="minorHAnsi"/>
          <w:color w:val="222222"/>
          <w:shd w:val="clear" w:color="auto" w:fill="FFFFFF"/>
        </w:rPr>
        <w:t>.</w:t>
      </w:r>
    </w:p>
    <w:p w14:paraId="5C2C3155" w14:textId="4F604333" w:rsidR="00CE3885" w:rsidRPr="00C4629B" w:rsidRDefault="00CE3885" w:rsidP="00F65304">
      <w:pPr>
        <w:spacing w:line="257" w:lineRule="auto"/>
        <w:ind w:left="720" w:hanging="720"/>
        <w:rPr>
          <w:rFonts w:cstheme="minorHAnsi"/>
          <w:color w:val="222222"/>
          <w:shd w:val="clear" w:color="auto" w:fill="FFFFFF"/>
          <w:lang w:val="es-US"/>
        </w:rPr>
      </w:pPr>
      <w:r w:rsidRPr="00CE3885">
        <w:rPr>
          <w:rFonts w:cstheme="minorHAnsi"/>
          <w:color w:val="222222"/>
          <w:shd w:val="clear" w:color="auto" w:fill="FFFFFF"/>
        </w:rPr>
        <w:t>Bucheli, M. and C. Olivieri (</w:t>
      </w:r>
      <w:r w:rsidR="007C374B">
        <w:rPr>
          <w:rFonts w:cstheme="minorHAnsi"/>
          <w:color w:val="222222"/>
          <w:shd w:val="clear" w:color="auto" w:fill="FFFFFF"/>
        </w:rPr>
        <w:t>2015</w:t>
      </w:r>
      <w:r w:rsidRPr="00CE3885">
        <w:rPr>
          <w:rFonts w:cstheme="minorHAnsi"/>
          <w:color w:val="222222"/>
          <w:shd w:val="clear" w:color="auto" w:fill="FFFFFF"/>
        </w:rPr>
        <w:t>)</w:t>
      </w:r>
      <w:r w:rsidR="004335FC">
        <w:rPr>
          <w:rFonts w:cstheme="minorHAnsi"/>
          <w:color w:val="222222"/>
          <w:shd w:val="clear" w:color="auto" w:fill="FFFFFF"/>
        </w:rPr>
        <w:t>.</w:t>
      </w:r>
      <w:r w:rsidRPr="00CE3885">
        <w:rPr>
          <w:rFonts w:cstheme="minorHAnsi"/>
          <w:color w:val="222222"/>
          <w:shd w:val="clear" w:color="auto" w:fill="FFFFFF"/>
        </w:rPr>
        <w:t xml:space="preserve"> “Gender Equity</w:t>
      </w:r>
      <w:r>
        <w:rPr>
          <w:rFonts w:cstheme="minorHAnsi"/>
          <w:color w:val="222222"/>
          <w:shd w:val="clear" w:color="auto" w:fill="FFFFFF"/>
        </w:rPr>
        <w:t xml:space="preserve"> in Taxation in Latin America and the Caribbean</w:t>
      </w:r>
      <w:r w:rsidR="009D3AAF">
        <w:rPr>
          <w:rFonts w:cstheme="minorHAnsi"/>
          <w:color w:val="222222"/>
          <w:shd w:val="clear" w:color="auto" w:fill="FFFFFF"/>
        </w:rPr>
        <w:t xml:space="preserve">. </w:t>
      </w:r>
      <w:r w:rsidR="009D3AAF" w:rsidRPr="00C4629B">
        <w:rPr>
          <w:rFonts w:cstheme="minorHAnsi"/>
          <w:color w:val="222222"/>
          <w:shd w:val="clear" w:color="auto" w:fill="FFFFFF"/>
          <w:lang w:val="es-US"/>
        </w:rPr>
        <w:t xml:space="preserve">Uruguay” </w:t>
      </w:r>
      <w:r w:rsidR="001F405B" w:rsidRPr="00C4629B">
        <w:rPr>
          <w:rFonts w:cstheme="minorHAnsi"/>
          <w:color w:val="222222"/>
          <w:shd w:val="clear" w:color="auto" w:fill="FFFFFF"/>
          <w:lang w:val="es-US"/>
        </w:rPr>
        <w:t xml:space="preserve">Universidad de la </w:t>
      </w:r>
      <w:r w:rsidR="00586592" w:rsidRPr="00C4629B">
        <w:rPr>
          <w:rFonts w:cstheme="minorHAnsi"/>
          <w:color w:val="222222"/>
          <w:shd w:val="clear" w:color="auto" w:fill="FFFFFF"/>
          <w:lang w:val="es-US"/>
        </w:rPr>
        <w:t>República</w:t>
      </w:r>
      <w:r w:rsidR="001F405B" w:rsidRPr="00C4629B">
        <w:rPr>
          <w:rFonts w:cstheme="minorHAnsi"/>
          <w:color w:val="222222"/>
          <w:shd w:val="clear" w:color="auto" w:fill="FFFFFF"/>
          <w:lang w:val="es-US"/>
        </w:rPr>
        <w:t xml:space="preserve">, </w:t>
      </w:r>
      <w:proofErr w:type="spellStart"/>
      <w:r w:rsidR="001F405B" w:rsidRPr="00C4629B">
        <w:rPr>
          <w:rFonts w:cstheme="minorHAnsi"/>
          <w:color w:val="222222"/>
          <w:shd w:val="clear" w:color="auto" w:fill="FFFFFF"/>
          <w:lang w:val="es-US"/>
        </w:rPr>
        <w:t>mimeo</w:t>
      </w:r>
      <w:proofErr w:type="spellEnd"/>
    </w:p>
    <w:p w14:paraId="55FEE0C5" w14:textId="00EA9DC5" w:rsidR="00865747" w:rsidRPr="00CE3885" w:rsidRDefault="00865747" w:rsidP="00F65304">
      <w:pPr>
        <w:spacing w:line="257" w:lineRule="auto"/>
        <w:ind w:left="720" w:hanging="720"/>
        <w:rPr>
          <w:rFonts w:cstheme="minorHAnsi"/>
          <w:color w:val="222222"/>
          <w:shd w:val="clear" w:color="auto" w:fill="FFFFFF"/>
        </w:rPr>
      </w:pPr>
      <w:r w:rsidRPr="00C4629B">
        <w:rPr>
          <w:rFonts w:cstheme="minorHAnsi"/>
          <w:color w:val="222222"/>
          <w:shd w:val="clear" w:color="auto" w:fill="FFFFFF"/>
          <w:lang w:val="es-US"/>
        </w:rPr>
        <w:t>Bucheli, M. and C. Olivieri (2019)</w:t>
      </w:r>
      <w:r w:rsidR="004335FC" w:rsidRPr="00C4629B">
        <w:rPr>
          <w:rFonts w:cstheme="minorHAnsi"/>
          <w:color w:val="222222"/>
          <w:shd w:val="clear" w:color="auto" w:fill="FFFFFF"/>
          <w:lang w:val="es-US"/>
        </w:rPr>
        <w:t>.</w:t>
      </w:r>
      <w:r w:rsidRPr="00C4629B">
        <w:rPr>
          <w:rFonts w:cstheme="minorHAnsi"/>
          <w:color w:val="222222"/>
          <w:shd w:val="clear" w:color="auto" w:fill="FFFFFF"/>
          <w:lang w:val="es-US"/>
        </w:rPr>
        <w:t xml:space="preserve"> </w:t>
      </w:r>
      <w:r>
        <w:rPr>
          <w:rFonts w:cstheme="minorHAnsi"/>
          <w:color w:val="222222"/>
          <w:shd w:val="clear" w:color="auto" w:fill="FFFFFF"/>
        </w:rPr>
        <w:t>“Gendered effects of the personal income tax: Evidence from a schedular system with individual filing in Uruguay”</w:t>
      </w:r>
      <w:r w:rsidR="00A17B3D">
        <w:rPr>
          <w:rFonts w:cstheme="minorHAnsi"/>
          <w:color w:val="222222"/>
          <w:shd w:val="clear" w:color="auto" w:fill="FFFFFF"/>
        </w:rPr>
        <w:t xml:space="preserve"> </w:t>
      </w:r>
      <w:r w:rsidR="00A17B3D" w:rsidRPr="00A17B3D">
        <w:rPr>
          <w:rFonts w:cstheme="minorHAnsi"/>
          <w:i/>
          <w:iCs/>
          <w:color w:val="222222"/>
          <w:shd w:val="clear" w:color="auto" w:fill="FFFFFF"/>
        </w:rPr>
        <w:t>International Journal of Micro Simulation</w:t>
      </w:r>
      <w:r w:rsidR="00A17B3D">
        <w:rPr>
          <w:rFonts w:cstheme="minorHAnsi"/>
          <w:color w:val="222222"/>
          <w:shd w:val="clear" w:color="auto" w:fill="FFFFFF"/>
        </w:rPr>
        <w:t>, 12(2)</w:t>
      </w:r>
    </w:p>
    <w:p w14:paraId="67AE4873" w14:textId="4B7B9AC1" w:rsidR="00342EE7" w:rsidRDefault="00342EE7" w:rsidP="00F65304">
      <w:pPr>
        <w:spacing w:line="257" w:lineRule="auto"/>
        <w:ind w:left="720" w:hanging="720"/>
      </w:pPr>
      <w:r w:rsidRPr="00342EE7">
        <w:t>Doorley, K. and C. Keane (2020)</w:t>
      </w:r>
      <w:r w:rsidR="004335FC">
        <w:t>.</w:t>
      </w:r>
      <w:r w:rsidRPr="00342EE7">
        <w:t xml:space="preserve"> “Tax-Benefit Systems and the Gender Gap in Income” IZA DP No. 13786</w:t>
      </w:r>
    </w:p>
    <w:p w14:paraId="5004C43D" w14:textId="33ABAC61" w:rsidR="00E0648B" w:rsidRPr="009614C0" w:rsidRDefault="009C7381" w:rsidP="009614C0">
      <w:pPr>
        <w:spacing w:line="257" w:lineRule="auto"/>
        <w:ind w:left="720" w:hanging="720"/>
      </w:pPr>
      <w:r>
        <w:t>Fuchs Tar</w:t>
      </w:r>
      <w:r w:rsidR="00F10A00">
        <w:t>lovsky, A. and M.F. Gonzalez Icaza (202</w:t>
      </w:r>
      <w:r w:rsidR="009614C0">
        <w:t>3</w:t>
      </w:r>
      <w:r w:rsidR="00F10A00">
        <w:t>).</w:t>
      </w:r>
      <w:r w:rsidR="00E0648B">
        <w:t xml:space="preserve"> “</w:t>
      </w:r>
      <w:r w:rsidR="00886BFF">
        <w:t>Assessing the effects of the fiscal system on gender disparities in Armenia” Pilot Stu</w:t>
      </w:r>
      <w:r w:rsidR="009614C0">
        <w:t>dy for the Engendered CEQ Methodology. Poverty and Equity Global Practice, The World Bank.</w:t>
      </w:r>
    </w:p>
    <w:p w14:paraId="0315E309" w14:textId="4CD18A80" w:rsidR="00771625" w:rsidRDefault="00771625" w:rsidP="00F65304">
      <w:pPr>
        <w:spacing w:line="257" w:lineRule="auto"/>
        <w:ind w:left="720" w:hanging="720"/>
      </w:pPr>
      <w:r w:rsidRPr="00306DAC">
        <w:t>Garcia-Pena Berch, N. (</w:t>
      </w:r>
      <w:r w:rsidR="00573BCD" w:rsidRPr="00306DAC">
        <w:t>2019</w:t>
      </w:r>
      <w:r w:rsidRPr="00306DAC">
        <w:t>)</w:t>
      </w:r>
      <w:r w:rsidR="004335FC">
        <w:t>.</w:t>
      </w:r>
      <w:r w:rsidRPr="00306DAC">
        <w:t xml:space="preserve"> </w:t>
      </w:r>
      <w:r w:rsidR="00573BCD" w:rsidRPr="00306DAC">
        <w:t>“A Gendered</w:t>
      </w:r>
      <w:r w:rsidR="000D53EF" w:rsidRPr="00306DAC">
        <w:t xml:space="preserve"> Fiscal Analysis for Barbados</w:t>
      </w:r>
      <w:r w:rsidR="00573BCD" w:rsidRPr="00306DAC">
        <w:t>”</w:t>
      </w:r>
      <w:r w:rsidR="00306DAC" w:rsidRPr="00306DAC">
        <w:t xml:space="preserve"> The</w:t>
      </w:r>
      <w:r w:rsidR="00306DAC">
        <w:t>sis</w:t>
      </w:r>
      <w:r w:rsidR="00630F69">
        <w:t xml:space="preserve">, </w:t>
      </w:r>
      <w:r w:rsidR="00630F69" w:rsidRPr="00306DAC">
        <w:t xml:space="preserve">Universidad de San Andres, </w:t>
      </w:r>
      <w:r w:rsidR="00630F69">
        <w:t>Department of Economics.</w:t>
      </w:r>
    </w:p>
    <w:p w14:paraId="5F6729D1" w14:textId="77777777" w:rsidR="00ED033C" w:rsidRPr="00B63D54" w:rsidRDefault="00ED033C" w:rsidP="00ED033C">
      <w:pPr>
        <w:spacing w:line="257" w:lineRule="auto"/>
        <w:ind w:left="720" w:hanging="720"/>
      </w:pPr>
      <w:r>
        <w:t xml:space="preserve">Grown, C. and I. </w:t>
      </w:r>
      <w:proofErr w:type="spellStart"/>
      <w:r>
        <w:t>Valodia</w:t>
      </w:r>
      <w:proofErr w:type="spellEnd"/>
      <w:r>
        <w:t xml:space="preserve"> (2010). “Taxation and Gender Equity: A Comparative Analysis of Direct and Indirect Taxes in Developing and Developed Countries”, New York: Routledge.</w:t>
      </w:r>
    </w:p>
    <w:p w14:paraId="5E24F25A" w14:textId="00112EA6" w:rsidR="00EF20ED" w:rsidRPr="00342EE7" w:rsidRDefault="00EF20ED" w:rsidP="00F65304">
      <w:pPr>
        <w:spacing w:line="257" w:lineRule="auto"/>
        <w:ind w:left="720" w:hanging="720"/>
      </w:pPr>
      <w:r>
        <w:t xml:space="preserve">Lahey, K. A. (2015). "Uncovering Women in Taxation: The Gender Impact of Detaxation, Tax Expenditures, and Joint Tax/Benefit Units." </w:t>
      </w:r>
      <w:proofErr w:type="spellStart"/>
      <w:r>
        <w:t>Osgoode</w:t>
      </w:r>
      <w:proofErr w:type="spellEnd"/>
      <w:r>
        <w:t xml:space="preserve"> Hall Law Journal 52.2 (2015): 427-459.</w:t>
      </w:r>
    </w:p>
    <w:p w14:paraId="3029D685" w14:textId="2FD2C319" w:rsidR="00923F54" w:rsidRDefault="0038278B" w:rsidP="00F65304">
      <w:pPr>
        <w:spacing w:line="257" w:lineRule="auto"/>
        <w:ind w:left="720" w:hanging="720"/>
      </w:pPr>
      <w:r>
        <w:t>Lustig, N.</w:t>
      </w:r>
      <w:r w:rsidRPr="0038278B">
        <w:t xml:space="preserve"> (2018)</w:t>
      </w:r>
      <w:r w:rsidR="004335FC">
        <w:t>.</w:t>
      </w:r>
      <w:r w:rsidRPr="0038278B">
        <w:t xml:space="preserve"> </w:t>
      </w:r>
      <w:r w:rsidRPr="0038278B">
        <w:rPr>
          <w:i/>
          <w:iCs/>
        </w:rPr>
        <w:t>CEQ Handbook: Estimating the Impact of Fiscal Policy on Inequality and Poverty</w:t>
      </w:r>
      <w:r w:rsidRPr="0038278B">
        <w:t>. Washington, DC: Brookings Institution Press and CEQ Institute.</w:t>
      </w:r>
      <w:r w:rsidR="006E4A7A" w:rsidRPr="006E4A7A">
        <w:t xml:space="preserve"> </w:t>
      </w:r>
    </w:p>
    <w:p w14:paraId="50B8B01A" w14:textId="508594F8" w:rsidR="0086576B" w:rsidRDefault="0086576B" w:rsidP="00F65304">
      <w:pPr>
        <w:spacing w:line="257" w:lineRule="auto"/>
        <w:ind w:left="720" w:hanging="720"/>
      </w:pPr>
      <w:r w:rsidRPr="004F108B">
        <w:t>Lustig, N</w:t>
      </w:r>
      <w:r w:rsidR="004F108B">
        <w:t>.</w:t>
      </w:r>
      <w:r w:rsidRPr="004F108B">
        <w:t>, and Higgins</w:t>
      </w:r>
      <w:r w:rsidR="004F108B">
        <w:t>, S</w:t>
      </w:r>
      <w:r w:rsidRPr="004F108B">
        <w:t xml:space="preserve">. </w:t>
      </w:r>
      <w:r w:rsidR="00CB4933">
        <w:t>(2013).</w:t>
      </w:r>
      <w:r w:rsidRPr="004F108B">
        <w:t xml:space="preserve"> </w:t>
      </w:r>
      <w:r w:rsidRPr="004F108B">
        <w:rPr>
          <w:i/>
          <w:iCs/>
        </w:rPr>
        <w:t>Commitment to equity assessment (CEQ): Estimating the incidence of social spending, subsidies, and taxes-handbook.</w:t>
      </w:r>
      <w:r w:rsidRPr="004F108B">
        <w:t> Subsidies, and Taxes-Handbook (September 1, 2013) (2013).</w:t>
      </w:r>
    </w:p>
    <w:p w14:paraId="5E4E83D4" w14:textId="77777777" w:rsidR="00D427A5" w:rsidRDefault="00D427A5" w:rsidP="00D427A5">
      <w:pPr>
        <w:spacing w:line="257" w:lineRule="auto"/>
        <w:ind w:left="720" w:hanging="720"/>
      </w:pPr>
      <w:r>
        <w:t>World Bank (2018). “Poverty and Shared Prosperity 2018: Piecing Together the Poverty Puzzle”, Washington, D.C.</w:t>
      </w:r>
    </w:p>
    <w:p w14:paraId="1DA5784A" w14:textId="1F94E78C" w:rsidR="00820FE3" w:rsidRDefault="00D427A5" w:rsidP="00762C18">
      <w:pPr>
        <w:spacing w:line="257" w:lineRule="auto"/>
      </w:pPr>
      <w:r>
        <w:t xml:space="preserve">Grown, C. and I. </w:t>
      </w:r>
      <w:proofErr w:type="spellStart"/>
      <w:r>
        <w:t>Valodia</w:t>
      </w:r>
      <w:proofErr w:type="spellEnd"/>
      <w:r>
        <w:t xml:space="preserve"> (2010). “Taxation and Gender Equity: A Comparative Analysis of Direct and Indirect Taxes in Developing and Developed Countries”, New York: Routledge.</w:t>
      </w:r>
    </w:p>
    <w:p w14:paraId="05481615" w14:textId="3603AFE6" w:rsidR="00D60B58" w:rsidRDefault="00D60B58" w:rsidP="00762C18">
      <w:pPr>
        <w:pStyle w:val="Heading2"/>
      </w:pPr>
      <w:bookmarkStart w:id="22" w:name="_Toc136425151"/>
      <w:r w:rsidRPr="00762C18">
        <w:lastRenderedPageBreak/>
        <w:t>Annex</w:t>
      </w:r>
      <w:r>
        <w:t xml:space="preserve"> A</w:t>
      </w:r>
      <w:r w:rsidR="00FF3176">
        <w:t>. Additional Tables and Figures</w:t>
      </w:r>
      <w:bookmarkEnd w:id="22"/>
    </w:p>
    <w:p w14:paraId="5DE093AD" w14:textId="4210EDE6" w:rsidR="00820FE3" w:rsidRDefault="00820FE3" w:rsidP="00820FE3">
      <w:pPr>
        <w:pStyle w:val="Caption"/>
        <w:keepNext/>
        <w:jc w:val="center"/>
        <w:rPr>
          <w:sz w:val="22"/>
          <w:szCs w:val="22"/>
        </w:rPr>
      </w:pPr>
      <w:r w:rsidRPr="008F587B">
        <w:rPr>
          <w:sz w:val="22"/>
          <w:szCs w:val="22"/>
        </w:rPr>
        <w:t xml:space="preserve">Figure </w:t>
      </w:r>
      <w:r w:rsidR="004127C7">
        <w:rPr>
          <w:sz w:val="22"/>
          <w:szCs w:val="22"/>
        </w:rPr>
        <w:t>A</w:t>
      </w:r>
      <w:r w:rsidR="008C1130">
        <w:rPr>
          <w:sz w:val="22"/>
          <w:szCs w:val="22"/>
        </w:rPr>
        <w:t>1</w:t>
      </w:r>
      <w:r w:rsidRPr="008F587B">
        <w:rPr>
          <w:sz w:val="22"/>
          <w:szCs w:val="22"/>
        </w:rPr>
        <w:t>. Distribution of Households by Decile of Pre</w:t>
      </w:r>
      <w:r>
        <w:rPr>
          <w:sz w:val="22"/>
          <w:szCs w:val="22"/>
        </w:rPr>
        <w:t>-</w:t>
      </w:r>
      <w:r w:rsidRPr="008F587B">
        <w:rPr>
          <w:sz w:val="22"/>
          <w:szCs w:val="22"/>
        </w:rPr>
        <w:t>fiscal Income</w:t>
      </w:r>
      <w:r>
        <w:rPr>
          <w:sz w:val="22"/>
          <w:szCs w:val="22"/>
        </w:rPr>
        <w:t xml:space="preserve"> </w:t>
      </w:r>
      <w:r>
        <w:rPr>
          <w:rStyle w:val="FootnoteReference"/>
          <w:sz w:val="22"/>
          <w:szCs w:val="22"/>
        </w:rPr>
        <w:footnoteReference w:id="28"/>
      </w:r>
    </w:p>
    <w:p w14:paraId="0B8E296B" w14:textId="18627198" w:rsidR="00820FE3" w:rsidRPr="008F587B" w:rsidRDefault="00820FE3" w:rsidP="00820FE3">
      <w:pPr>
        <w:pStyle w:val="Caption"/>
        <w:keepNext/>
        <w:jc w:val="center"/>
        <w:rPr>
          <w:sz w:val="22"/>
          <w:szCs w:val="22"/>
        </w:rPr>
      </w:pPr>
      <w:r w:rsidRPr="0091340B">
        <w:rPr>
          <w:sz w:val="22"/>
          <w:szCs w:val="22"/>
        </w:rPr>
        <w:t xml:space="preserve">Panel A. </w:t>
      </w:r>
      <w:r>
        <w:rPr>
          <w:sz w:val="22"/>
          <w:szCs w:val="22"/>
        </w:rPr>
        <w:t xml:space="preserve">Economic </w:t>
      </w:r>
      <w:r w:rsidR="008C1130">
        <w:rPr>
          <w:sz w:val="22"/>
          <w:szCs w:val="22"/>
        </w:rPr>
        <w:t>Typology</w:t>
      </w:r>
    </w:p>
    <w:p w14:paraId="67D7B1FB" w14:textId="69E10FC9" w:rsidR="00820FE3" w:rsidRPr="0029298E" w:rsidRDefault="005F3C78" w:rsidP="00820FE3">
      <w:pPr>
        <w:jc w:val="center"/>
      </w:pPr>
      <w:r>
        <w:rPr>
          <w:noProof/>
        </w:rPr>
        <w:drawing>
          <wp:inline distT="0" distB="0" distL="0" distR="0" wp14:anchorId="7A277346" wp14:editId="567E3BCA">
            <wp:extent cx="4341495" cy="3131820"/>
            <wp:effectExtent l="0" t="0" r="1905" b="0"/>
            <wp:docPr id="11" name="Chart 11">
              <a:extLst xmlns:a="http://schemas.openxmlformats.org/drawingml/2006/main">
                <a:ext uri="{FF2B5EF4-FFF2-40B4-BE49-F238E27FC236}">
                  <a16:creationId xmlns:a16="http://schemas.microsoft.com/office/drawing/2014/main" id="{5244F01C-2DC9-449E-85B2-7C670A1BDF5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58D3C84B" w14:textId="77777777" w:rsidR="00820FE3" w:rsidRPr="009C53E5" w:rsidRDefault="00820FE3" w:rsidP="00820FE3">
      <w:pPr>
        <w:pStyle w:val="Caption"/>
        <w:keepNext/>
        <w:jc w:val="center"/>
        <w:rPr>
          <w:sz w:val="22"/>
          <w:szCs w:val="22"/>
        </w:rPr>
      </w:pPr>
      <w:r w:rsidRPr="0091340B">
        <w:rPr>
          <w:sz w:val="22"/>
          <w:szCs w:val="22"/>
        </w:rPr>
        <w:t xml:space="preserve">Panel </w:t>
      </w:r>
      <w:r>
        <w:rPr>
          <w:sz w:val="22"/>
          <w:szCs w:val="22"/>
        </w:rPr>
        <w:t>B</w:t>
      </w:r>
      <w:r w:rsidRPr="0091340B">
        <w:rPr>
          <w:sz w:val="22"/>
          <w:szCs w:val="22"/>
        </w:rPr>
        <w:t xml:space="preserve">. </w:t>
      </w:r>
      <w:r>
        <w:rPr>
          <w:sz w:val="22"/>
          <w:szCs w:val="22"/>
        </w:rPr>
        <w:t>Demographic Typology</w:t>
      </w:r>
    </w:p>
    <w:p w14:paraId="4FB7C47B" w14:textId="2A3B84ED" w:rsidR="00820FE3" w:rsidRPr="0029298E" w:rsidRDefault="005F3C78" w:rsidP="00820FE3">
      <w:pPr>
        <w:jc w:val="center"/>
      </w:pPr>
      <w:r>
        <w:rPr>
          <w:noProof/>
        </w:rPr>
        <w:drawing>
          <wp:inline distT="0" distB="0" distL="0" distR="0" wp14:anchorId="48674520" wp14:editId="3CD3ABF9">
            <wp:extent cx="4341495" cy="3154045"/>
            <wp:effectExtent l="0" t="0" r="1905" b="8255"/>
            <wp:docPr id="14" name="Chart 14">
              <a:extLst xmlns:a="http://schemas.openxmlformats.org/drawingml/2006/main">
                <a:ext uri="{FF2B5EF4-FFF2-40B4-BE49-F238E27FC236}">
                  <a16:creationId xmlns:a16="http://schemas.microsoft.com/office/drawing/2014/main" id="{3AA63DB3-D4AB-4AC0-9CF8-AC4E4446786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4E62D616" w14:textId="715BC793" w:rsidR="00376698" w:rsidRDefault="00376698" w:rsidP="00376698">
      <w:pPr>
        <w:pStyle w:val="Caption"/>
        <w:keepNext/>
        <w:jc w:val="center"/>
        <w:rPr>
          <w:sz w:val="22"/>
          <w:szCs w:val="22"/>
        </w:rPr>
      </w:pPr>
      <w:r w:rsidRPr="005C510C">
        <w:rPr>
          <w:sz w:val="22"/>
          <w:szCs w:val="22"/>
        </w:rPr>
        <w:lastRenderedPageBreak/>
        <w:t xml:space="preserve">Figure </w:t>
      </w:r>
      <w:r w:rsidR="004127C7">
        <w:rPr>
          <w:sz w:val="22"/>
          <w:szCs w:val="22"/>
        </w:rPr>
        <w:t>A</w:t>
      </w:r>
      <w:r w:rsidR="008C1130">
        <w:rPr>
          <w:sz w:val="22"/>
          <w:szCs w:val="22"/>
        </w:rPr>
        <w:t>2</w:t>
      </w:r>
      <w:r w:rsidRPr="005C510C">
        <w:rPr>
          <w:sz w:val="22"/>
          <w:szCs w:val="22"/>
        </w:rPr>
        <w:t xml:space="preserve">. </w:t>
      </w:r>
      <w:r w:rsidR="009D1D66">
        <w:rPr>
          <w:sz w:val="22"/>
          <w:szCs w:val="22"/>
        </w:rPr>
        <w:t>Distribution of</w:t>
      </w:r>
      <w:r w:rsidR="00C23593">
        <w:rPr>
          <w:sz w:val="22"/>
          <w:szCs w:val="22"/>
        </w:rPr>
        <w:t xml:space="preserve"> Household</w:t>
      </w:r>
      <w:r w:rsidR="009D1D66">
        <w:rPr>
          <w:sz w:val="22"/>
          <w:szCs w:val="22"/>
        </w:rPr>
        <w:t>s by</w:t>
      </w:r>
      <w:r w:rsidR="00944C6B">
        <w:rPr>
          <w:sz w:val="22"/>
          <w:szCs w:val="22"/>
        </w:rPr>
        <w:t xml:space="preserve"> Demographic and Economic Typologies</w:t>
      </w:r>
    </w:p>
    <w:p w14:paraId="40BBDF09" w14:textId="4321EA45" w:rsidR="00376698" w:rsidRDefault="005F3C78" w:rsidP="00376698">
      <w:pPr>
        <w:spacing w:line="259" w:lineRule="auto"/>
        <w:rPr>
          <w:rFonts w:asciiTheme="majorHAnsi" w:eastAsiaTheme="majorEastAsia" w:hAnsiTheme="majorHAnsi" w:cstheme="majorBidi"/>
          <w:color w:val="1F3763" w:themeColor="accent1" w:themeShade="7F"/>
          <w:sz w:val="24"/>
          <w:szCs w:val="24"/>
        </w:rPr>
      </w:pPr>
      <w:r>
        <w:rPr>
          <w:noProof/>
        </w:rPr>
        <w:drawing>
          <wp:inline distT="0" distB="0" distL="0" distR="0" wp14:anchorId="0725383B" wp14:editId="40F8DBEF">
            <wp:extent cx="5943600" cy="2937510"/>
            <wp:effectExtent l="0" t="0" r="0" b="0"/>
            <wp:docPr id="15" name="Chart 15">
              <a:extLst xmlns:a="http://schemas.openxmlformats.org/drawingml/2006/main">
                <a:ext uri="{FF2B5EF4-FFF2-40B4-BE49-F238E27FC236}">
                  <a16:creationId xmlns:a16="http://schemas.microsoft.com/office/drawing/2014/main" id="{D05A1391-A2F8-4EA5-9C5D-8158CB4643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2ACB254D" w14:textId="35D04420" w:rsidR="00376698" w:rsidRPr="003914B5" w:rsidRDefault="005F3C78" w:rsidP="003914B5">
      <w:pPr>
        <w:spacing w:line="259" w:lineRule="auto"/>
        <w:rPr>
          <w:rFonts w:asciiTheme="majorHAnsi" w:eastAsiaTheme="majorEastAsia" w:hAnsiTheme="majorHAnsi" w:cstheme="majorBidi"/>
          <w:color w:val="1F3763" w:themeColor="accent1" w:themeShade="7F"/>
          <w:sz w:val="24"/>
          <w:szCs w:val="24"/>
        </w:rPr>
      </w:pPr>
      <w:r>
        <w:rPr>
          <w:noProof/>
        </w:rPr>
        <w:drawing>
          <wp:inline distT="0" distB="0" distL="0" distR="0" wp14:anchorId="11D253B3" wp14:editId="6FC66D71">
            <wp:extent cx="5943600" cy="3292475"/>
            <wp:effectExtent l="0" t="0" r="0" b="3175"/>
            <wp:docPr id="16" name="Chart 16">
              <a:extLst xmlns:a="http://schemas.openxmlformats.org/drawingml/2006/main">
                <a:ext uri="{FF2B5EF4-FFF2-40B4-BE49-F238E27FC236}">
                  <a16:creationId xmlns:a16="http://schemas.microsoft.com/office/drawing/2014/main" id="{8F4E2F1F-DF7A-4B51-A829-42DCA3280A9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39EB84F0" w14:textId="6BA6C015" w:rsidR="008D51F3" w:rsidRPr="0091287E" w:rsidRDefault="008D51F3" w:rsidP="008D51F3">
      <w:pPr>
        <w:pStyle w:val="Caption"/>
        <w:keepNext/>
        <w:jc w:val="center"/>
        <w:rPr>
          <w:sz w:val="22"/>
          <w:szCs w:val="22"/>
        </w:rPr>
      </w:pPr>
      <w:r w:rsidRPr="0091287E">
        <w:rPr>
          <w:sz w:val="22"/>
          <w:szCs w:val="22"/>
        </w:rPr>
        <w:lastRenderedPageBreak/>
        <w:t xml:space="preserve">Figure </w:t>
      </w:r>
      <w:r w:rsidR="004127C7">
        <w:rPr>
          <w:sz w:val="22"/>
          <w:szCs w:val="22"/>
        </w:rPr>
        <w:t>A3</w:t>
      </w:r>
      <w:r w:rsidRPr="0091287E">
        <w:rPr>
          <w:sz w:val="22"/>
          <w:szCs w:val="22"/>
        </w:rPr>
        <w:t xml:space="preserve">. Incidence of Direct Fiscal Policies Across </w:t>
      </w:r>
      <w:r w:rsidR="000D59B2">
        <w:rPr>
          <w:sz w:val="22"/>
          <w:szCs w:val="22"/>
        </w:rPr>
        <w:t xml:space="preserve">Selected </w:t>
      </w:r>
      <w:r w:rsidRPr="0091287E">
        <w:rPr>
          <w:sz w:val="22"/>
          <w:szCs w:val="22"/>
        </w:rPr>
        <w:t>Household Types</w:t>
      </w:r>
    </w:p>
    <w:p w14:paraId="5C068B18" w14:textId="70861043" w:rsidR="00E83439" w:rsidRDefault="0066281E" w:rsidP="008D51F3">
      <w:pPr>
        <w:spacing w:line="259" w:lineRule="auto"/>
        <w:jc w:val="center"/>
      </w:pPr>
      <w:r>
        <w:rPr>
          <w:noProof/>
        </w:rPr>
        <w:drawing>
          <wp:inline distT="0" distB="0" distL="0" distR="0" wp14:anchorId="622AD7D8" wp14:editId="7276CDA8">
            <wp:extent cx="5361940" cy="4151630"/>
            <wp:effectExtent l="0" t="0" r="0" b="1270"/>
            <wp:docPr id="17" name="Chart 17">
              <a:extLst xmlns:a="http://schemas.openxmlformats.org/drawingml/2006/main">
                <a:ext uri="{FF2B5EF4-FFF2-40B4-BE49-F238E27FC236}">
                  <a16:creationId xmlns:a16="http://schemas.microsoft.com/office/drawing/2014/main" id="{A1BF2B7D-E3BD-4ED5-85D9-7396B7C09E1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2CA162EC" w14:textId="77777777" w:rsidR="00E83439" w:rsidRDefault="00E83439" w:rsidP="008D51F3">
      <w:pPr>
        <w:spacing w:line="259" w:lineRule="auto"/>
        <w:jc w:val="center"/>
      </w:pPr>
    </w:p>
    <w:p w14:paraId="18135A17" w14:textId="5C9CE65F" w:rsidR="008D51F3" w:rsidRPr="0091287E" w:rsidRDefault="008D51F3" w:rsidP="008D51F3">
      <w:pPr>
        <w:pStyle w:val="Caption"/>
        <w:keepNext/>
        <w:jc w:val="center"/>
        <w:rPr>
          <w:sz w:val="22"/>
          <w:szCs w:val="22"/>
        </w:rPr>
      </w:pPr>
      <w:r w:rsidRPr="0091287E">
        <w:rPr>
          <w:sz w:val="22"/>
          <w:szCs w:val="22"/>
        </w:rPr>
        <w:lastRenderedPageBreak/>
        <w:t xml:space="preserve">Figure </w:t>
      </w:r>
      <w:r w:rsidR="00E82B2E">
        <w:rPr>
          <w:sz w:val="22"/>
          <w:szCs w:val="22"/>
        </w:rPr>
        <w:t>A4</w:t>
      </w:r>
      <w:r w:rsidRPr="0091287E">
        <w:rPr>
          <w:sz w:val="22"/>
          <w:szCs w:val="22"/>
        </w:rPr>
        <w:t xml:space="preserve">. Incidence of Direct Taxes Across </w:t>
      </w:r>
      <w:r w:rsidR="000D59B2">
        <w:rPr>
          <w:sz w:val="22"/>
          <w:szCs w:val="22"/>
        </w:rPr>
        <w:t xml:space="preserve">Selected </w:t>
      </w:r>
      <w:r w:rsidRPr="0091287E">
        <w:rPr>
          <w:sz w:val="22"/>
          <w:szCs w:val="22"/>
        </w:rPr>
        <w:t>Household Types</w:t>
      </w:r>
    </w:p>
    <w:p w14:paraId="2E455FDE" w14:textId="6152AD8B" w:rsidR="008D51F3" w:rsidRDefault="0066281E" w:rsidP="008D51F3">
      <w:pPr>
        <w:spacing w:line="259" w:lineRule="auto"/>
        <w:jc w:val="center"/>
      </w:pPr>
      <w:r>
        <w:rPr>
          <w:noProof/>
        </w:rPr>
        <w:drawing>
          <wp:inline distT="0" distB="0" distL="0" distR="0" wp14:anchorId="3BD8932D" wp14:editId="52BCAA21">
            <wp:extent cx="5309870" cy="3333750"/>
            <wp:effectExtent l="0" t="0" r="5080" b="0"/>
            <wp:docPr id="19" name="Chart 19">
              <a:extLst xmlns:a="http://schemas.openxmlformats.org/drawingml/2006/main">
                <a:ext uri="{FF2B5EF4-FFF2-40B4-BE49-F238E27FC236}">
                  <a16:creationId xmlns:a16="http://schemas.microsoft.com/office/drawing/2014/main" id="{F5BCBDC6-2DD7-4B96-8D3B-ED7F372012A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367B9DAB" w14:textId="778BA96B" w:rsidR="008D51F3" w:rsidRPr="0091287E" w:rsidRDefault="008D51F3" w:rsidP="008D51F3">
      <w:pPr>
        <w:pStyle w:val="Caption"/>
        <w:keepNext/>
        <w:jc w:val="center"/>
        <w:rPr>
          <w:sz w:val="22"/>
          <w:szCs w:val="22"/>
        </w:rPr>
      </w:pPr>
      <w:r w:rsidRPr="0091287E">
        <w:rPr>
          <w:sz w:val="22"/>
          <w:szCs w:val="22"/>
        </w:rPr>
        <w:t>Figure</w:t>
      </w:r>
      <w:r w:rsidR="00E82B2E">
        <w:rPr>
          <w:sz w:val="22"/>
          <w:szCs w:val="22"/>
        </w:rPr>
        <w:t xml:space="preserve"> A5</w:t>
      </w:r>
      <w:r w:rsidRPr="0091287E">
        <w:rPr>
          <w:sz w:val="22"/>
          <w:szCs w:val="22"/>
        </w:rPr>
        <w:t xml:space="preserve">. Incidence of </w:t>
      </w:r>
      <w:r w:rsidR="00876C9F">
        <w:rPr>
          <w:sz w:val="22"/>
          <w:szCs w:val="22"/>
        </w:rPr>
        <w:t xml:space="preserve">Contributions </w:t>
      </w:r>
      <w:r w:rsidRPr="0091287E">
        <w:rPr>
          <w:sz w:val="22"/>
          <w:szCs w:val="22"/>
        </w:rPr>
        <w:t>Across</w:t>
      </w:r>
      <w:r w:rsidR="000D59B2">
        <w:rPr>
          <w:sz w:val="22"/>
          <w:szCs w:val="22"/>
        </w:rPr>
        <w:t xml:space="preserve"> Selected</w:t>
      </w:r>
      <w:r w:rsidRPr="0091287E">
        <w:rPr>
          <w:sz w:val="22"/>
          <w:szCs w:val="22"/>
        </w:rPr>
        <w:t xml:space="preserve"> Household Types</w:t>
      </w:r>
    </w:p>
    <w:p w14:paraId="585B8898" w14:textId="6B9AF171" w:rsidR="008D51F3" w:rsidRPr="0091287E" w:rsidRDefault="0066281E" w:rsidP="008D51F3">
      <w:pPr>
        <w:spacing w:line="259" w:lineRule="auto"/>
        <w:jc w:val="center"/>
      </w:pPr>
      <w:r>
        <w:rPr>
          <w:noProof/>
        </w:rPr>
        <w:drawing>
          <wp:inline distT="0" distB="0" distL="0" distR="0" wp14:anchorId="322D71D7" wp14:editId="2AD796D2">
            <wp:extent cx="4387850" cy="2838450"/>
            <wp:effectExtent l="0" t="0" r="0" b="0"/>
            <wp:docPr id="20" name="Chart 20">
              <a:extLst xmlns:a="http://schemas.openxmlformats.org/drawingml/2006/main">
                <a:ext uri="{FF2B5EF4-FFF2-40B4-BE49-F238E27FC236}">
                  <a16:creationId xmlns:a16="http://schemas.microsoft.com/office/drawing/2014/main" id="{D607C6A6-AE37-494E-8853-EC25870964D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5B252CBF" w14:textId="77777777" w:rsidR="00A61E0C" w:rsidRPr="0091287E" w:rsidRDefault="00A61E0C" w:rsidP="008D51F3">
      <w:pPr>
        <w:spacing w:line="259" w:lineRule="auto"/>
        <w:jc w:val="center"/>
      </w:pPr>
    </w:p>
    <w:p w14:paraId="4A9410B3" w14:textId="76FF4EF5" w:rsidR="008D51F3" w:rsidRPr="0091287E" w:rsidRDefault="008D51F3" w:rsidP="008D51F3">
      <w:pPr>
        <w:pStyle w:val="Caption"/>
        <w:keepNext/>
        <w:jc w:val="center"/>
        <w:rPr>
          <w:sz w:val="22"/>
          <w:szCs w:val="22"/>
        </w:rPr>
      </w:pPr>
      <w:r w:rsidRPr="0091287E">
        <w:rPr>
          <w:sz w:val="22"/>
          <w:szCs w:val="22"/>
        </w:rPr>
        <w:lastRenderedPageBreak/>
        <w:t xml:space="preserve">Figure </w:t>
      </w:r>
      <w:r w:rsidR="000D59B2">
        <w:rPr>
          <w:sz w:val="22"/>
          <w:szCs w:val="22"/>
        </w:rPr>
        <w:t>A6</w:t>
      </w:r>
      <w:r w:rsidRPr="0091287E">
        <w:rPr>
          <w:sz w:val="22"/>
          <w:szCs w:val="22"/>
        </w:rPr>
        <w:fldChar w:fldCharType="begin"/>
      </w:r>
      <w:r w:rsidRPr="0091287E">
        <w:rPr>
          <w:sz w:val="22"/>
          <w:szCs w:val="22"/>
        </w:rPr>
        <w:instrText xml:space="preserve"> SEQ Figure \* ARABIC </w:instrText>
      </w:r>
      <w:r w:rsidRPr="0091287E">
        <w:rPr>
          <w:sz w:val="22"/>
          <w:szCs w:val="22"/>
        </w:rPr>
        <w:fldChar w:fldCharType="separate"/>
      </w:r>
      <w:r w:rsidRPr="0091287E">
        <w:rPr>
          <w:sz w:val="22"/>
          <w:szCs w:val="22"/>
        </w:rPr>
        <w:fldChar w:fldCharType="end"/>
      </w:r>
      <w:r w:rsidRPr="0091287E">
        <w:rPr>
          <w:sz w:val="22"/>
          <w:szCs w:val="22"/>
        </w:rPr>
        <w:t xml:space="preserve">. Incidence of </w:t>
      </w:r>
      <w:r w:rsidR="00876C9F">
        <w:rPr>
          <w:sz w:val="22"/>
          <w:szCs w:val="22"/>
        </w:rPr>
        <w:t>Direct Transfers</w:t>
      </w:r>
      <w:r w:rsidRPr="0091287E">
        <w:rPr>
          <w:sz w:val="22"/>
          <w:szCs w:val="22"/>
        </w:rPr>
        <w:t xml:space="preserve"> Across </w:t>
      </w:r>
      <w:r w:rsidR="000D59B2">
        <w:rPr>
          <w:sz w:val="22"/>
          <w:szCs w:val="22"/>
        </w:rPr>
        <w:t xml:space="preserve">Selected </w:t>
      </w:r>
      <w:r w:rsidRPr="0091287E">
        <w:rPr>
          <w:sz w:val="22"/>
          <w:szCs w:val="22"/>
        </w:rPr>
        <w:t>Household Types</w:t>
      </w:r>
    </w:p>
    <w:p w14:paraId="2BFEED80" w14:textId="48F5C2DA" w:rsidR="008D51F3" w:rsidRDefault="0066281E" w:rsidP="008D51F3">
      <w:pPr>
        <w:spacing w:line="259" w:lineRule="auto"/>
        <w:jc w:val="center"/>
      </w:pPr>
      <w:r>
        <w:rPr>
          <w:noProof/>
        </w:rPr>
        <w:drawing>
          <wp:inline distT="0" distB="0" distL="0" distR="0" wp14:anchorId="1740F0F3" wp14:editId="2BC1C02B">
            <wp:extent cx="4701540" cy="2953385"/>
            <wp:effectExtent l="0" t="0" r="3810" b="0"/>
            <wp:docPr id="21" name="Chart 21">
              <a:extLst xmlns:a="http://schemas.openxmlformats.org/drawingml/2006/main">
                <a:ext uri="{FF2B5EF4-FFF2-40B4-BE49-F238E27FC236}">
                  <a16:creationId xmlns:a16="http://schemas.microsoft.com/office/drawing/2014/main" id="{2E56AFF4-46C3-45FD-80AE-6976EA2B9E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5DD75693" w14:textId="20BFF9FC" w:rsidR="00817DEA" w:rsidRDefault="00817DEA" w:rsidP="00817DEA">
      <w:pPr>
        <w:pStyle w:val="Caption"/>
        <w:keepNext/>
        <w:jc w:val="center"/>
        <w:rPr>
          <w:sz w:val="22"/>
          <w:szCs w:val="22"/>
        </w:rPr>
      </w:pPr>
      <w:r w:rsidRPr="0046730C">
        <w:rPr>
          <w:sz w:val="22"/>
          <w:szCs w:val="22"/>
        </w:rPr>
        <w:lastRenderedPageBreak/>
        <w:t xml:space="preserve">Table </w:t>
      </w:r>
      <w:r w:rsidR="000D59B2">
        <w:rPr>
          <w:sz w:val="22"/>
          <w:szCs w:val="22"/>
        </w:rPr>
        <w:t>A</w:t>
      </w:r>
      <w:r>
        <w:rPr>
          <w:sz w:val="22"/>
          <w:szCs w:val="22"/>
        </w:rPr>
        <w:t>1</w:t>
      </w:r>
      <w:r w:rsidRPr="0046730C">
        <w:rPr>
          <w:sz w:val="22"/>
          <w:szCs w:val="22"/>
        </w:rPr>
        <w:t xml:space="preserve">. Marginal </w:t>
      </w:r>
      <w:r w:rsidR="00FA0AEB">
        <w:rPr>
          <w:sz w:val="22"/>
          <w:szCs w:val="22"/>
        </w:rPr>
        <w:t>C</w:t>
      </w:r>
      <w:r w:rsidRPr="0046730C">
        <w:rPr>
          <w:sz w:val="22"/>
          <w:szCs w:val="22"/>
        </w:rPr>
        <w:t xml:space="preserve">ontribution to </w:t>
      </w:r>
      <w:r w:rsidR="00FA0AEB">
        <w:rPr>
          <w:sz w:val="22"/>
          <w:szCs w:val="22"/>
        </w:rPr>
        <w:t>P</w:t>
      </w:r>
      <w:r w:rsidRPr="0046730C">
        <w:rPr>
          <w:sz w:val="22"/>
          <w:szCs w:val="22"/>
        </w:rPr>
        <w:t xml:space="preserve">overty and </w:t>
      </w:r>
      <w:r w:rsidR="00FA0AEB">
        <w:rPr>
          <w:sz w:val="22"/>
          <w:szCs w:val="22"/>
        </w:rPr>
        <w:t>I</w:t>
      </w:r>
      <w:r w:rsidRPr="0046730C">
        <w:rPr>
          <w:sz w:val="22"/>
          <w:szCs w:val="22"/>
        </w:rPr>
        <w:t>nequality</w:t>
      </w:r>
    </w:p>
    <w:p w14:paraId="29212636" w14:textId="77777777" w:rsidR="00817DEA" w:rsidRPr="0046730C" w:rsidRDefault="00817DEA" w:rsidP="00817DEA">
      <w:pPr>
        <w:pStyle w:val="Caption"/>
        <w:keepNext/>
        <w:jc w:val="center"/>
      </w:pPr>
      <w:r w:rsidRPr="0091287E">
        <w:rPr>
          <w:sz w:val="22"/>
          <w:szCs w:val="22"/>
        </w:rPr>
        <w:t xml:space="preserve">By </w:t>
      </w:r>
      <w:r>
        <w:rPr>
          <w:sz w:val="22"/>
          <w:szCs w:val="22"/>
        </w:rPr>
        <w:t>f</w:t>
      </w:r>
      <w:r w:rsidRPr="0091287E">
        <w:rPr>
          <w:sz w:val="22"/>
          <w:szCs w:val="22"/>
        </w:rPr>
        <w:t xml:space="preserve">iscal </w:t>
      </w:r>
      <w:r>
        <w:rPr>
          <w:sz w:val="22"/>
          <w:szCs w:val="22"/>
        </w:rPr>
        <w:t>i</w:t>
      </w:r>
      <w:r w:rsidRPr="0091287E">
        <w:rPr>
          <w:sz w:val="22"/>
          <w:szCs w:val="22"/>
        </w:rPr>
        <w:t>ntervention (p.p.)</w:t>
      </w:r>
    </w:p>
    <w:p w14:paraId="77C3B32A" w14:textId="19DA41FB" w:rsidR="00817DEA" w:rsidRDefault="0066281E" w:rsidP="00817DEA">
      <w:pPr>
        <w:spacing w:line="259" w:lineRule="auto"/>
      </w:pPr>
      <w:r>
        <w:rPr>
          <w:noProof/>
        </w:rPr>
        <w:drawing>
          <wp:inline distT="0" distB="0" distL="0" distR="0" wp14:anchorId="6521ECAF" wp14:editId="2E6111E5">
            <wp:extent cx="5943600" cy="570293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3600" cy="5702935"/>
                    </a:xfrm>
                    <a:prstGeom prst="rect">
                      <a:avLst/>
                    </a:prstGeom>
                    <a:noFill/>
                    <a:ln>
                      <a:noFill/>
                    </a:ln>
                  </pic:spPr>
                </pic:pic>
              </a:graphicData>
            </a:graphic>
          </wp:inline>
        </w:drawing>
      </w:r>
    </w:p>
    <w:p w14:paraId="62312B34" w14:textId="30AA6B77" w:rsidR="00923F54" w:rsidRDefault="00923F54" w:rsidP="00642792">
      <w:pPr>
        <w:spacing w:line="257" w:lineRule="auto"/>
      </w:pPr>
    </w:p>
    <w:p w14:paraId="68218DA0" w14:textId="77777777" w:rsidR="000B4413" w:rsidRDefault="000B4413" w:rsidP="00112A0B">
      <w:pPr>
        <w:spacing w:line="257" w:lineRule="auto"/>
        <w:jc w:val="center"/>
      </w:pPr>
    </w:p>
    <w:p w14:paraId="544307E5" w14:textId="77777777" w:rsidR="002B5468" w:rsidRDefault="002B5468" w:rsidP="00112A0B">
      <w:pPr>
        <w:spacing w:line="257" w:lineRule="auto"/>
        <w:jc w:val="center"/>
      </w:pPr>
    </w:p>
    <w:p w14:paraId="5A60D6F0" w14:textId="77777777" w:rsidR="002B5468" w:rsidRDefault="002B5468" w:rsidP="00112A0B">
      <w:pPr>
        <w:spacing w:line="257" w:lineRule="auto"/>
        <w:jc w:val="center"/>
      </w:pPr>
    </w:p>
    <w:p w14:paraId="5AAD3C01" w14:textId="77777777" w:rsidR="002B5468" w:rsidRDefault="002B5468" w:rsidP="00112A0B">
      <w:pPr>
        <w:spacing w:line="257" w:lineRule="auto"/>
        <w:jc w:val="center"/>
      </w:pPr>
    </w:p>
    <w:p w14:paraId="3A3FDFFE" w14:textId="77777777" w:rsidR="002B5468" w:rsidRDefault="002B5468" w:rsidP="00112A0B">
      <w:pPr>
        <w:spacing w:line="257" w:lineRule="auto"/>
        <w:jc w:val="center"/>
      </w:pPr>
    </w:p>
    <w:p w14:paraId="2D9C6021" w14:textId="3C2597F2" w:rsidR="000B4413" w:rsidRDefault="000B4413" w:rsidP="002B5468">
      <w:pPr>
        <w:pStyle w:val="Caption"/>
        <w:keepNext/>
        <w:jc w:val="center"/>
        <w:rPr>
          <w:sz w:val="22"/>
          <w:szCs w:val="22"/>
        </w:rPr>
      </w:pPr>
      <w:r w:rsidRPr="0046730C">
        <w:rPr>
          <w:sz w:val="22"/>
          <w:szCs w:val="22"/>
        </w:rPr>
        <w:lastRenderedPageBreak/>
        <w:t xml:space="preserve">Table </w:t>
      </w:r>
      <w:r>
        <w:rPr>
          <w:sz w:val="22"/>
          <w:szCs w:val="22"/>
        </w:rPr>
        <w:t>A2</w:t>
      </w:r>
      <w:r w:rsidRPr="0046730C">
        <w:rPr>
          <w:sz w:val="22"/>
          <w:szCs w:val="22"/>
        </w:rPr>
        <w:t xml:space="preserve">. </w:t>
      </w:r>
      <w:r w:rsidR="00207F47">
        <w:rPr>
          <w:sz w:val="22"/>
          <w:szCs w:val="22"/>
        </w:rPr>
        <w:t xml:space="preserve">Probit Regression </w:t>
      </w:r>
      <w:r w:rsidR="00A67934">
        <w:rPr>
          <w:sz w:val="22"/>
          <w:szCs w:val="22"/>
        </w:rPr>
        <w:t>Model</w:t>
      </w:r>
    </w:p>
    <w:tbl>
      <w:tblPr>
        <w:tblW w:w="7702" w:type="dxa"/>
        <w:jc w:val="center"/>
        <w:tblLook w:val="04A0" w:firstRow="1" w:lastRow="0" w:firstColumn="1" w:lastColumn="0" w:noHBand="0" w:noVBand="1"/>
      </w:tblPr>
      <w:tblGrid>
        <w:gridCol w:w="360"/>
        <w:gridCol w:w="3700"/>
        <w:gridCol w:w="262"/>
        <w:gridCol w:w="1724"/>
        <w:gridCol w:w="828"/>
        <w:gridCol w:w="828"/>
      </w:tblGrid>
      <w:tr w:rsidR="006403DE" w:rsidRPr="006403DE" w14:paraId="31D3FCDB" w14:textId="77777777" w:rsidTr="006403DE">
        <w:trPr>
          <w:trHeight w:val="300"/>
          <w:jc w:val="center"/>
        </w:trPr>
        <w:tc>
          <w:tcPr>
            <w:tcW w:w="360" w:type="dxa"/>
            <w:tcBorders>
              <w:top w:val="single" w:sz="4" w:space="0" w:color="auto"/>
              <w:left w:val="nil"/>
              <w:bottom w:val="single" w:sz="4" w:space="0" w:color="auto"/>
              <w:right w:val="nil"/>
            </w:tcBorders>
            <w:noWrap/>
            <w:vAlign w:val="bottom"/>
            <w:hideMark/>
          </w:tcPr>
          <w:p w14:paraId="24AB01E9" w14:textId="77777777" w:rsidR="006403DE" w:rsidRPr="006403DE" w:rsidRDefault="006403DE" w:rsidP="006403DE">
            <w:pPr>
              <w:spacing w:after="0" w:line="240" w:lineRule="auto"/>
              <w:jc w:val="left"/>
              <w:rPr>
                <w:rFonts w:ascii="Calibri" w:eastAsia="Times New Roman" w:hAnsi="Calibri" w:cs="Calibri"/>
                <w:color w:val="000000"/>
              </w:rPr>
            </w:pPr>
            <w:r w:rsidRPr="006403DE">
              <w:rPr>
                <w:rFonts w:ascii="Calibri" w:eastAsia="Times New Roman" w:hAnsi="Calibri" w:cs="Calibri"/>
                <w:color w:val="000000"/>
              </w:rPr>
              <w:t> </w:t>
            </w:r>
          </w:p>
        </w:tc>
        <w:tc>
          <w:tcPr>
            <w:tcW w:w="3700" w:type="dxa"/>
            <w:tcBorders>
              <w:top w:val="single" w:sz="4" w:space="0" w:color="auto"/>
              <w:left w:val="nil"/>
              <w:bottom w:val="single" w:sz="4" w:space="0" w:color="auto"/>
              <w:right w:val="nil"/>
            </w:tcBorders>
            <w:noWrap/>
            <w:vAlign w:val="bottom"/>
            <w:hideMark/>
          </w:tcPr>
          <w:p w14:paraId="4F751AE4" w14:textId="77777777" w:rsidR="006403DE" w:rsidRPr="006403DE" w:rsidRDefault="006403DE" w:rsidP="006403DE">
            <w:pPr>
              <w:spacing w:after="0" w:line="240" w:lineRule="auto"/>
              <w:jc w:val="left"/>
              <w:rPr>
                <w:rFonts w:ascii="Calibri" w:eastAsia="Times New Roman" w:hAnsi="Calibri" w:cs="Calibri"/>
                <w:color w:val="000000"/>
              </w:rPr>
            </w:pPr>
            <w:r w:rsidRPr="006403DE">
              <w:rPr>
                <w:rFonts w:ascii="Calibri" w:eastAsia="Times New Roman" w:hAnsi="Calibri" w:cs="Calibri"/>
                <w:color w:val="000000"/>
              </w:rPr>
              <w:t> </w:t>
            </w:r>
          </w:p>
        </w:tc>
        <w:tc>
          <w:tcPr>
            <w:tcW w:w="3642" w:type="dxa"/>
            <w:gridSpan w:val="4"/>
            <w:tcBorders>
              <w:top w:val="single" w:sz="4" w:space="0" w:color="auto"/>
              <w:left w:val="nil"/>
              <w:bottom w:val="single" w:sz="4" w:space="0" w:color="auto"/>
              <w:right w:val="nil"/>
            </w:tcBorders>
            <w:noWrap/>
            <w:vAlign w:val="bottom"/>
            <w:hideMark/>
          </w:tcPr>
          <w:p w14:paraId="5A956F19" w14:textId="77777777" w:rsidR="006403DE" w:rsidRPr="006403DE" w:rsidRDefault="006403DE" w:rsidP="006403DE">
            <w:pPr>
              <w:spacing w:after="0" w:line="240" w:lineRule="auto"/>
              <w:jc w:val="center"/>
              <w:rPr>
                <w:rFonts w:ascii="Calibri" w:eastAsia="Times New Roman" w:hAnsi="Calibri" w:cs="Calibri"/>
                <w:i/>
                <w:iCs/>
                <w:color w:val="000000"/>
                <w:sz w:val="20"/>
                <w:szCs w:val="20"/>
              </w:rPr>
            </w:pPr>
            <w:r w:rsidRPr="006403DE">
              <w:rPr>
                <w:rFonts w:ascii="Calibri" w:eastAsia="Times New Roman" w:hAnsi="Calibri" w:cs="Calibri"/>
                <w:i/>
                <w:iCs/>
                <w:color w:val="000000"/>
                <w:sz w:val="20"/>
                <w:szCs w:val="20"/>
              </w:rPr>
              <w:t>Dummy=1 if female is employed</w:t>
            </w:r>
          </w:p>
        </w:tc>
      </w:tr>
      <w:tr w:rsidR="006403DE" w:rsidRPr="006403DE" w14:paraId="7FC1FFC2" w14:textId="77777777" w:rsidTr="006403DE">
        <w:trPr>
          <w:trHeight w:val="300"/>
          <w:jc w:val="center"/>
        </w:trPr>
        <w:tc>
          <w:tcPr>
            <w:tcW w:w="4060" w:type="dxa"/>
            <w:gridSpan w:val="2"/>
            <w:tcBorders>
              <w:top w:val="single" w:sz="4" w:space="0" w:color="auto"/>
              <w:left w:val="nil"/>
              <w:bottom w:val="nil"/>
              <w:right w:val="nil"/>
            </w:tcBorders>
            <w:noWrap/>
            <w:vAlign w:val="bottom"/>
            <w:hideMark/>
          </w:tcPr>
          <w:p w14:paraId="2C98312E" w14:textId="77777777" w:rsidR="006403DE" w:rsidRPr="006403DE" w:rsidRDefault="006403DE" w:rsidP="006403DE">
            <w:pPr>
              <w:spacing w:after="0" w:line="240" w:lineRule="auto"/>
              <w:jc w:val="left"/>
              <w:rPr>
                <w:rFonts w:ascii="Calibri" w:eastAsia="Times New Roman" w:hAnsi="Calibri" w:cs="Calibri"/>
                <w:b/>
                <w:bCs/>
                <w:color w:val="000000"/>
                <w:sz w:val="20"/>
                <w:szCs w:val="20"/>
              </w:rPr>
            </w:pPr>
            <w:r w:rsidRPr="006403DE">
              <w:rPr>
                <w:rFonts w:ascii="Calibri" w:eastAsia="Times New Roman" w:hAnsi="Calibri" w:cs="Calibri"/>
                <w:b/>
                <w:bCs/>
                <w:color w:val="000000"/>
                <w:sz w:val="20"/>
                <w:szCs w:val="20"/>
              </w:rPr>
              <w:t>VARIABLES</w:t>
            </w:r>
          </w:p>
        </w:tc>
        <w:tc>
          <w:tcPr>
            <w:tcW w:w="1986" w:type="dxa"/>
            <w:gridSpan w:val="2"/>
            <w:tcBorders>
              <w:top w:val="single" w:sz="4" w:space="0" w:color="auto"/>
              <w:left w:val="nil"/>
              <w:bottom w:val="nil"/>
              <w:right w:val="nil"/>
            </w:tcBorders>
            <w:noWrap/>
            <w:vAlign w:val="bottom"/>
            <w:hideMark/>
          </w:tcPr>
          <w:p w14:paraId="65A38075" w14:textId="77777777" w:rsidR="006403DE" w:rsidRPr="006403DE" w:rsidRDefault="006403DE" w:rsidP="006403DE">
            <w:pPr>
              <w:spacing w:after="0" w:line="240" w:lineRule="auto"/>
              <w:jc w:val="center"/>
              <w:rPr>
                <w:rFonts w:ascii="Calibri" w:eastAsia="Times New Roman" w:hAnsi="Calibri" w:cs="Calibri"/>
                <w:b/>
                <w:bCs/>
                <w:color w:val="000000"/>
                <w:sz w:val="20"/>
                <w:szCs w:val="20"/>
              </w:rPr>
            </w:pPr>
            <w:r w:rsidRPr="006403DE">
              <w:rPr>
                <w:rFonts w:ascii="Calibri" w:eastAsia="Times New Roman" w:hAnsi="Calibri" w:cs="Calibri"/>
                <w:b/>
                <w:bCs/>
                <w:color w:val="000000"/>
                <w:sz w:val="20"/>
                <w:szCs w:val="20"/>
              </w:rPr>
              <w:t>Marginal effects</w:t>
            </w:r>
          </w:p>
        </w:tc>
        <w:tc>
          <w:tcPr>
            <w:tcW w:w="1656" w:type="dxa"/>
            <w:gridSpan w:val="2"/>
            <w:tcBorders>
              <w:top w:val="single" w:sz="4" w:space="0" w:color="auto"/>
              <w:left w:val="nil"/>
              <w:bottom w:val="nil"/>
              <w:right w:val="nil"/>
            </w:tcBorders>
            <w:noWrap/>
            <w:vAlign w:val="bottom"/>
            <w:hideMark/>
          </w:tcPr>
          <w:p w14:paraId="4C840509" w14:textId="77777777" w:rsidR="006403DE" w:rsidRPr="006403DE" w:rsidRDefault="006403DE" w:rsidP="006403DE">
            <w:pPr>
              <w:spacing w:after="0" w:line="240" w:lineRule="auto"/>
              <w:jc w:val="center"/>
              <w:rPr>
                <w:rFonts w:ascii="Calibri" w:eastAsia="Times New Roman" w:hAnsi="Calibri" w:cs="Calibri"/>
                <w:b/>
                <w:bCs/>
                <w:color w:val="000000"/>
                <w:sz w:val="20"/>
                <w:szCs w:val="20"/>
              </w:rPr>
            </w:pPr>
            <w:r w:rsidRPr="006403DE">
              <w:rPr>
                <w:rFonts w:ascii="Calibri" w:eastAsia="Times New Roman" w:hAnsi="Calibri" w:cs="Calibri"/>
                <w:b/>
                <w:bCs/>
                <w:color w:val="000000"/>
                <w:sz w:val="20"/>
                <w:szCs w:val="20"/>
              </w:rPr>
              <w:t>[95% conf. interval]</w:t>
            </w:r>
          </w:p>
        </w:tc>
      </w:tr>
      <w:tr w:rsidR="006403DE" w:rsidRPr="006403DE" w14:paraId="5C671E51" w14:textId="77777777" w:rsidTr="006403DE">
        <w:trPr>
          <w:trHeight w:val="300"/>
          <w:jc w:val="center"/>
        </w:trPr>
        <w:tc>
          <w:tcPr>
            <w:tcW w:w="4060" w:type="dxa"/>
            <w:gridSpan w:val="2"/>
            <w:tcBorders>
              <w:top w:val="nil"/>
              <w:left w:val="nil"/>
              <w:bottom w:val="nil"/>
              <w:right w:val="nil"/>
            </w:tcBorders>
            <w:noWrap/>
            <w:vAlign w:val="bottom"/>
            <w:hideMark/>
          </w:tcPr>
          <w:p w14:paraId="507DBF58" w14:textId="77777777" w:rsidR="006403DE" w:rsidRPr="006403DE" w:rsidRDefault="006403DE" w:rsidP="006403DE">
            <w:pPr>
              <w:spacing w:after="0" w:line="240" w:lineRule="auto"/>
              <w:jc w:val="left"/>
              <w:rPr>
                <w:rFonts w:ascii="Calibri" w:eastAsia="Times New Roman" w:hAnsi="Calibri" w:cs="Calibri"/>
                <w:color w:val="000000"/>
                <w:sz w:val="20"/>
                <w:szCs w:val="20"/>
              </w:rPr>
            </w:pPr>
            <w:r w:rsidRPr="006403DE">
              <w:rPr>
                <w:rFonts w:ascii="Calibri" w:eastAsia="Times New Roman" w:hAnsi="Calibri" w:cs="Calibri"/>
                <w:color w:val="000000"/>
                <w:sz w:val="20"/>
                <w:szCs w:val="20"/>
              </w:rPr>
              <w:t>Age</w:t>
            </w:r>
          </w:p>
        </w:tc>
        <w:tc>
          <w:tcPr>
            <w:tcW w:w="262" w:type="dxa"/>
            <w:tcBorders>
              <w:top w:val="nil"/>
              <w:left w:val="nil"/>
              <w:bottom w:val="nil"/>
              <w:right w:val="nil"/>
            </w:tcBorders>
            <w:noWrap/>
            <w:vAlign w:val="bottom"/>
            <w:hideMark/>
          </w:tcPr>
          <w:p w14:paraId="03227534" w14:textId="77777777" w:rsidR="006403DE" w:rsidRPr="006403DE" w:rsidRDefault="006403DE" w:rsidP="006403DE">
            <w:pPr>
              <w:spacing w:after="0" w:line="240" w:lineRule="auto"/>
              <w:jc w:val="left"/>
              <w:rPr>
                <w:rFonts w:ascii="Calibri" w:eastAsia="Times New Roman" w:hAnsi="Calibri" w:cs="Calibri"/>
                <w:color w:val="000000"/>
                <w:sz w:val="20"/>
                <w:szCs w:val="20"/>
              </w:rPr>
            </w:pPr>
          </w:p>
        </w:tc>
        <w:tc>
          <w:tcPr>
            <w:tcW w:w="1724" w:type="dxa"/>
            <w:tcBorders>
              <w:top w:val="nil"/>
              <w:left w:val="nil"/>
              <w:bottom w:val="nil"/>
              <w:right w:val="nil"/>
            </w:tcBorders>
            <w:noWrap/>
            <w:vAlign w:val="bottom"/>
            <w:hideMark/>
          </w:tcPr>
          <w:p w14:paraId="5BF70463" w14:textId="77777777" w:rsidR="006403DE" w:rsidRPr="006403DE" w:rsidRDefault="006403DE" w:rsidP="006403DE">
            <w:pPr>
              <w:spacing w:after="0" w:line="240" w:lineRule="auto"/>
              <w:jc w:val="left"/>
              <w:rPr>
                <w:rFonts w:ascii="Calibri" w:eastAsia="Times New Roman" w:hAnsi="Calibri" w:cs="Calibri"/>
                <w:color w:val="000000"/>
                <w:sz w:val="20"/>
                <w:szCs w:val="20"/>
              </w:rPr>
            </w:pPr>
            <w:r w:rsidRPr="006403DE">
              <w:rPr>
                <w:rFonts w:ascii="Calibri" w:eastAsia="Times New Roman" w:hAnsi="Calibri" w:cs="Calibri"/>
                <w:color w:val="000000"/>
                <w:sz w:val="20"/>
                <w:szCs w:val="20"/>
              </w:rPr>
              <w:t>0.036***</w:t>
            </w:r>
          </w:p>
        </w:tc>
        <w:tc>
          <w:tcPr>
            <w:tcW w:w="828" w:type="dxa"/>
            <w:tcBorders>
              <w:top w:val="nil"/>
              <w:left w:val="nil"/>
              <w:bottom w:val="nil"/>
              <w:right w:val="nil"/>
            </w:tcBorders>
            <w:noWrap/>
            <w:vAlign w:val="bottom"/>
            <w:hideMark/>
          </w:tcPr>
          <w:p w14:paraId="2E702229" w14:textId="77777777" w:rsidR="006403DE" w:rsidRPr="006403DE" w:rsidRDefault="006403DE" w:rsidP="006403DE">
            <w:pPr>
              <w:spacing w:after="0" w:line="240" w:lineRule="auto"/>
              <w:jc w:val="right"/>
              <w:rPr>
                <w:rFonts w:ascii="Calibri" w:eastAsia="Times New Roman" w:hAnsi="Calibri" w:cs="Calibri"/>
                <w:color w:val="000000"/>
                <w:sz w:val="20"/>
                <w:szCs w:val="20"/>
              </w:rPr>
            </w:pPr>
            <w:r w:rsidRPr="006403DE">
              <w:rPr>
                <w:rFonts w:ascii="Calibri" w:eastAsia="Times New Roman" w:hAnsi="Calibri" w:cs="Calibri"/>
                <w:color w:val="000000"/>
                <w:sz w:val="20"/>
                <w:szCs w:val="20"/>
              </w:rPr>
              <w:t>0.031</w:t>
            </w:r>
          </w:p>
        </w:tc>
        <w:tc>
          <w:tcPr>
            <w:tcW w:w="828" w:type="dxa"/>
            <w:tcBorders>
              <w:top w:val="nil"/>
              <w:left w:val="nil"/>
              <w:bottom w:val="nil"/>
              <w:right w:val="nil"/>
            </w:tcBorders>
            <w:noWrap/>
            <w:vAlign w:val="bottom"/>
            <w:hideMark/>
          </w:tcPr>
          <w:p w14:paraId="1EDB415C" w14:textId="77777777" w:rsidR="006403DE" w:rsidRPr="006403DE" w:rsidRDefault="006403DE" w:rsidP="006403DE">
            <w:pPr>
              <w:spacing w:after="0" w:line="240" w:lineRule="auto"/>
              <w:jc w:val="right"/>
              <w:rPr>
                <w:rFonts w:ascii="Calibri" w:eastAsia="Times New Roman" w:hAnsi="Calibri" w:cs="Calibri"/>
                <w:color w:val="000000"/>
                <w:sz w:val="20"/>
                <w:szCs w:val="20"/>
              </w:rPr>
            </w:pPr>
            <w:r w:rsidRPr="006403DE">
              <w:rPr>
                <w:rFonts w:ascii="Calibri" w:eastAsia="Times New Roman" w:hAnsi="Calibri" w:cs="Calibri"/>
                <w:color w:val="000000"/>
                <w:sz w:val="20"/>
                <w:szCs w:val="20"/>
              </w:rPr>
              <w:t>0.040</w:t>
            </w:r>
          </w:p>
        </w:tc>
      </w:tr>
      <w:tr w:rsidR="006403DE" w:rsidRPr="006403DE" w14:paraId="1135B8D3" w14:textId="77777777" w:rsidTr="006403DE">
        <w:trPr>
          <w:trHeight w:val="300"/>
          <w:jc w:val="center"/>
        </w:trPr>
        <w:tc>
          <w:tcPr>
            <w:tcW w:w="4060" w:type="dxa"/>
            <w:gridSpan w:val="2"/>
            <w:tcBorders>
              <w:top w:val="nil"/>
              <w:left w:val="nil"/>
              <w:bottom w:val="nil"/>
              <w:right w:val="nil"/>
            </w:tcBorders>
            <w:noWrap/>
            <w:vAlign w:val="bottom"/>
            <w:hideMark/>
          </w:tcPr>
          <w:p w14:paraId="7B02F698" w14:textId="77777777" w:rsidR="006403DE" w:rsidRPr="006403DE" w:rsidRDefault="006403DE" w:rsidP="006403DE">
            <w:pPr>
              <w:spacing w:after="0" w:line="240" w:lineRule="auto"/>
              <w:jc w:val="left"/>
              <w:rPr>
                <w:rFonts w:ascii="Calibri" w:eastAsia="Times New Roman" w:hAnsi="Calibri" w:cs="Calibri"/>
                <w:color w:val="000000"/>
                <w:sz w:val="20"/>
                <w:szCs w:val="20"/>
              </w:rPr>
            </w:pPr>
            <w:r w:rsidRPr="006403DE">
              <w:rPr>
                <w:rFonts w:ascii="Calibri" w:eastAsia="Times New Roman" w:hAnsi="Calibri" w:cs="Calibri"/>
                <w:color w:val="000000"/>
                <w:sz w:val="20"/>
                <w:szCs w:val="20"/>
              </w:rPr>
              <w:t>Age squared</w:t>
            </w:r>
          </w:p>
        </w:tc>
        <w:tc>
          <w:tcPr>
            <w:tcW w:w="262" w:type="dxa"/>
            <w:tcBorders>
              <w:top w:val="nil"/>
              <w:left w:val="nil"/>
              <w:bottom w:val="nil"/>
              <w:right w:val="nil"/>
            </w:tcBorders>
            <w:noWrap/>
            <w:vAlign w:val="bottom"/>
            <w:hideMark/>
          </w:tcPr>
          <w:p w14:paraId="3BBB1802" w14:textId="77777777" w:rsidR="006403DE" w:rsidRPr="006403DE" w:rsidRDefault="006403DE" w:rsidP="006403DE">
            <w:pPr>
              <w:spacing w:after="0" w:line="240" w:lineRule="auto"/>
              <w:jc w:val="left"/>
              <w:rPr>
                <w:rFonts w:ascii="Calibri" w:eastAsia="Times New Roman" w:hAnsi="Calibri" w:cs="Calibri"/>
                <w:color w:val="000000"/>
                <w:sz w:val="20"/>
                <w:szCs w:val="20"/>
              </w:rPr>
            </w:pPr>
          </w:p>
        </w:tc>
        <w:tc>
          <w:tcPr>
            <w:tcW w:w="1724" w:type="dxa"/>
            <w:tcBorders>
              <w:top w:val="nil"/>
              <w:left w:val="nil"/>
              <w:bottom w:val="nil"/>
              <w:right w:val="nil"/>
            </w:tcBorders>
            <w:noWrap/>
            <w:vAlign w:val="bottom"/>
            <w:hideMark/>
          </w:tcPr>
          <w:p w14:paraId="1394E90F" w14:textId="77777777" w:rsidR="006403DE" w:rsidRPr="006403DE" w:rsidRDefault="006403DE" w:rsidP="006403DE">
            <w:pPr>
              <w:spacing w:after="0" w:line="240" w:lineRule="auto"/>
              <w:jc w:val="left"/>
              <w:rPr>
                <w:rFonts w:ascii="Calibri" w:eastAsia="Times New Roman" w:hAnsi="Calibri" w:cs="Calibri"/>
                <w:color w:val="000000"/>
                <w:sz w:val="20"/>
                <w:szCs w:val="20"/>
              </w:rPr>
            </w:pPr>
            <w:r w:rsidRPr="006403DE">
              <w:rPr>
                <w:rFonts w:ascii="Calibri" w:eastAsia="Times New Roman" w:hAnsi="Calibri" w:cs="Calibri"/>
                <w:color w:val="000000"/>
                <w:sz w:val="20"/>
                <w:szCs w:val="20"/>
              </w:rPr>
              <w:t>-0.000***</w:t>
            </w:r>
          </w:p>
        </w:tc>
        <w:tc>
          <w:tcPr>
            <w:tcW w:w="828" w:type="dxa"/>
            <w:tcBorders>
              <w:top w:val="nil"/>
              <w:left w:val="nil"/>
              <w:bottom w:val="nil"/>
              <w:right w:val="nil"/>
            </w:tcBorders>
            <w:noWrap/>
            <w:vAlign w:val="bottom"/>
            <w:hideMark/>
          </w:tcPr>
          <w:p w14:paraId="52BDA03E" w14:textId="77777777" w:rsidR="006403DE" w:rsidRPr="006403DE" w:rsidRDefault="006403DE" w:rsidP="006403DE">
            <w:pPr>
              <w:spacing w:after="0" w:line="240" w:lineRule="auto"/>
              <w:jc w:val="right"/>
              <w:rPr>
                <w:rFonts w:ascii="Calibri" w:eastAsia="Times New Roman" w:hAnsi="Calibri" w:cs="Calibri"/>
                <w:color w:val="000000"/>
                <w:sz w:val="20"/>
                <w:szCs w:val="20"/>
              </w:rPr>
            </w:pPr>
            <w:r w:rsidRPr="006403DE">
              <w:rPr>
                <w:rFonts w:ascii="Calibri" w:eastAsia="Times New Roman" w:hAnsi="Calibri" w:cs="Calibri"/>
                <w:color w:val="000000"/>
                <w:sz w:val="20"/>
                <w:szCs w:val="20"/>
              </w:rPr>
              <w:t>-0.001</w:t>
            </w:r>
          </w:p>
        </w:tc>
        <w:tc>
          <w:tcPr>
            <w:tcW w:w="828" w:type="dxa"/>
            <w:tcBorders>
              <w:top w:val="nil"/>
              <w:left w:val="nil"/>
              <w:bottom w:val="nil"/>
              <w:right w:val="nil"/>
            </w:tcBorders>
            <w:noWrap/>
            <w:vAlign w:val="bottom"/>
            <w:hideMark/>
          </w:tcPr>
          <w:p w14:paraId="4FB9426A" w14:textId="77777777" w:rsidR="006403DE" w:rsidRPr="006403DE" w:rsidRDefault="006403DE" w:rsidP="006403DE">
            <w:pPr>
              <w:spacing w:after="0" w:line="240" w:lineRule="auto"/>
              <w:jc w:val="right"/>
              <w:rPr>
                <w:rFonts w:ascii="Calibri" w:eastAsia="Times New Roman" w:hAnsi="Calibri" w:cs="Calibri"/>
                <w:color w:val="000000"/>
                <w:sz w:val="20"/>
                <w:szCs w:val="20"/>
              </w:rPr>
            </w:pPr>
            <w:r w:rsidRPr="006403DE">
              <w:rPr>
                <w:rFonts w:ascii="Calibri" w:eastAsia="Times New Roman" w:hAnsi="Calibri" w:cs="Calibri"/>
                <w:color w:val="000000"/>
                <w:sz w:val="20"/>
                <w:szCs w:val="20"/>
              </w:rPr>
              <w:t>0.000</w:t>
            </w:r>
          </w:p>
        </w:tc>
      </w:tr>
      <w:tr w:rsidR="006403DE" w:rsidRPr="006403DE" w14:paraId="05DD284C" w14:textId="77777777" w:rsidTr="006403DE">
        <w:trPr>
          <w:trHeight w:val="300"/>
          <w:jc w:val="center"/>
        </w:trPr>
        <w:tc>
          <w:tcPr>
            <w:tcW w:w="4060" w:type="dxa"/>
            <w:gridSpan w:val="2"/>
            <w:tcBorders>
              <w:top w:val="nil"/>
              <w:left w:val="nil"/>
              <w:bottom w:val="nil"/>
              <w:right w:val="nil"/>
            </w:tcBorders>
            <w:noWrap/>
            <w:vAlign w:val="bottom"/>
            <w:hideMark/>
          </w:tcPr>
          <w:p w14:paraId="550021BC" w14:textId="77777777" w:rsidR="006403DE" w:rsidRPr="006403DE" w:rsidRDefault="006403DE" w:rsidP="006403DE">
            <w:pPr>
              <w:spacing w:after="0" w:line="240" w:lineRule="auto"/>
              <w:jc w:val="left"/>
              <w:rPr>
                <w:rFonts w:ascii="Calibri" w:eastAsia="Times New Roman" w:hAnsi="Calibri" w:cs="Calibri"/>
                <w:color w:val="000000"/>
                <w:sz w:val="20"/>
                <w:szCs w:val="20"/>
              </w:rPr>
            </w:pPr>
            <w:r w:rsidRPr="006403DE">
              <w:rPr>
                <w:rFonts w:ascii="Calibri" w:eastAsia="Times New Roman" w:hAnsi="Calibri" w:cs="Calibri"/>
                <w:color w:val="000000"/>
                <w:sz w:val="20"/>
                <w:szCs w:val="20"/>
              </w:rPr>
              <w:t>Head of household</w:t>
            </w:r>
          </w:p>
        </w:tc>
        <w:tc>
          <w:tcPr>
            <w:tcW w:w="262" w:type="dxa"/>
            <w:tcBorders>
              <w:top w:val="nil"/>
              <w:left w:val="nil"/>
              <w:bottom w:val="nil"/>
              <w:right w:val="nil"/>
            </w:tcBorders>
            <w:noWrap/>
            <w:vAlign w:val="bottom"/>
            <w:hideMark/>
          </w:tcPr>
          <w:p w14:paraId="011B1426" w14:textId="77777777" w:rsidR="006403DE" w:rsidRPr="006403DE" w:rsidRDefault="006403DE" w:rsidP="006403DE">
            <w:pPr>
              <w:spacing w:after="0" w:line="240" w:lineRule="auto"/>
              <w:jc w:val="left"/>
              <w:rPr>
                <w:rFonts w:ascii="Calibri" w:eastAsia="Times New Roman" w:hAnsi="Calibri" w:cs="Calibri"/>
                <w:color w:val="000000"/>
                <w:sz w:val="20"/>
                <w:szCs w:val="20"/>
              </w:rPr>
            </w:pPr>
          </w:p>
        </w:tc>
        <w:tc>
          <w:tcPr>
            <w:tcW w:w="1724" w:type="dxa"/>
            <w:tcBorders>
              <w:top w:val="nil"/>
              <w:left w:val="nil"/>
              <w:bottom w:val="nil"/>
              <w:right w:val="nil"/>
            </w:tcBorders>
            <w:noWrap/>
            <w:vAlign w:val="bottom"/>
            <w:hideMark/>
          </w:tcPr>
          <w:p w14:paraId="06E0AA09" w14:textId="77777777" w:rsidR="006403DE" w:rsidRPr="006403DE" w:rsidRDefault="006403DE" w:rsidP="006403DE">
            <w:pPr>
              <w:spacing w:after="0" w:line="240" w:lineRule="auto"/>
              <w:jc w:val="left"/>
              <w:rPr>
                <w:rFonts w:ascii="Calibri" w:eastAsia="Times New Roman" w:hAnsi="Calibri" w:cs="Calibri"/>
                <w:color w:val="000000"/>
                <w:sz w:val="20"/>
                <w:szCs w:val="20"/>
              </w:rPr>
            </w:pPr>
            <w:r w:rsidRPr="006403DE">
              <w:rPr>
                <w:rFonts w:ascii="Calibri" w:eastAsia="Times New Roman" w:hAnsi="Calibri" w:cs="Calibri"/>
                <w:color w:val="000000"/>
                <w:sz w:val="20"/>
                <w:szCs w:val="20"/>
              </w:rPr>
              <w:t>0.079***</w:t>
            </w:r>
          </w:p>
        </w:tc>
        <w:tc>
          <w:tcPr>
            <w:tcW w:w="828" w:type="dxa"/>
            <w:tcBorders>
              <w:top w:val="nil"/>
              <w:left w:val="nil"/>
              <w:bottom w:val="nil"/>
              <w:right w:val="nil"/>
            </w:tcBorders>
            <w:noWrap/>
            <w:vAlign w:val="bottom"/>
            <w:hideMark/>
          </w:tcPr>
          <w:p w14:paraId="73E7BF88" w14:textId="77777777" w:rsidR="006403DE" w:rsidRPr="006403DE" w:rsidRDefault="006403DE" w:rsidP="006403DE">
            <w:pPr>
              <w:spacing w:after="0" w:line="240" w:lineRule="auto"/>
              <w:jc w:val="right"/>
              <w:rPr>
                <w:rFonts w:ascii="Calibri" w:eastAsia="Times New Roman" w:hAnsi="Calibri" w:cs="Calibri"/>
                <w:color w:val="000000"/>
                <w:sz w:val="20"/>
                <w:szCs w:val="20"/>
              </w:rPr>
            </w:pPr>
            <w:r w:rsidRPr="006403DE">
              <w:rPr>
                <w:rFonts w:ascii="Calibri" w:eastAsia="Times New Roman" w:hAnsi="Calibri" w:cs="Calibri"/>
                <w:color w:val="000000"/>
                <w:sz w:val="20"/>
                <w:szCs w:val="20"/>
              </w:rPr>
              <w:t>0.068</w:t>
            </w:r>
          </w:p>
        </w:tc>
        <w:tc>
          <w:tcPr>
            <w:tcW w:w="828" w:type="dxa"/>
            <w:tcBorders>
              <w:top w:val="nil"/>
              <w:left w:val="nil"/>
              <w:bottom w:val="nil"/>
              <w:right w:val="nil"/>
            </w:tcBorders>
            <w:noWrap/>
            <w:vAlign w:val="bottom"/>
            <w:hideMark/>
          </w:tcPr>
          <w:p w14:paraId="1CABCCD1" w14:textId="77777777" w:rsidR="006403DE" w:rsidRPr="006403DE" w:rsidRDefault="006403DE" w:rsidP="006403DE">
            <w:pPr>
              <w:spacing w:after="0" w:line="240" w:lineRule="auto"/>
              <w:jc w:val="right"/>
              <w:rPr>
                <w:rFonts w:ascii="Calibri" w:eastAsia="Times New Roman" w:hAnsi="Calibri" w:cs="Calibri"/>
                <w:color w:val="000000"/>
                <w:sz w:val="20"/>
                <w:szCs w:val="20"/>
              </w:rPr>
            </w:pPr>
            <w:r w:rsidRPr="006403DE">
              <w:rPr>
                <w:rFonts w:ascii="Calibri" w:eastAsia="Times New Roman" w:hAnsi="Calibri" w:cs="Calibri"/>
                <w:color w:val="000000"/>
                <w:sz w:val="20"/>
                <w:szCs w:val="20"/>
              </w:rPr>
              <w:t>0.091</w:t>
            </w:r>
          </w:p>
        </w:tc>
      </w:tr>
      <w:tr w:rsidR="006403DE" w:rsidRPr="006403DE" w14:paraId="13870984" w14:textId="77777777" w:rsidTr="006403DE">
        <w:trPr>
          <w:trHeight w:val="300"/>
          <w:jc w:val="center"/>
        </w:trPr>
        <w:tc>
          <w:tcPr>
            <w:tcW w:w="4060" w:type="dxa"/>
            <w:gridSpan w:val="2"/>
            <w:tcBorders>
              <w:top w:val="nil"/>
              <w:left w:val="nil"/>
              <w:bottom w:val="nil"/>
              <w:right w:val="nil"/>
            </w:tcBorders>
            <w:noWrap/>
            <w:vAlign w:val="bottom"/>
            <w:hideMark/>
          </w:tcPr>
          <w:p w14:paraId="105FB232" w14:textId="77777777" w:rsidR="006403DE" w:rsidRPr="006403DE" w:rsidRDefault="006403DE" w:rsidP="006403DE">
            <w:pPr>
              <w:spacing w:after="0" w:line="240" w:lineRule="auto"/>
              <w:jc w:val="left"/>
              <w:rPr>
                <w:rFonts w:ascii="Calibri" w:eastAsia="Times New Roman" w:hAnsi="Calibri" w:cs="Calibri"/>
                <w:i/>
                <w:iCs/>
                <w:color w:val="000000"/>
                <w:sz w:val="20"/>
                <w:szCs w:val="20"/>
              </w:rPr>
            </w:pPr>
            <w:r w:rsidRPr="006403DE">
              <w:rPr>
                <w:rFonts w:ascii="Calibri" w:eastAsia="Times New Roman" w:hAnsi="Calibri" w:cs="Calibri"/>
                <w:i/>
                <w:iCs/>
                <w:color w:val="000000"/>
                <w:sz w:val="20"/>
                <w:szCs w:val="20"/>
              </w:rPr>
              <w:t>Education</w:t>
            </w:r>
          </w:p>
        </w:tc>
        <w:tc>
          <w:tcPr>
            <w:tcW w:w="262" w:type="dxa"/>
            <w:tcBorders>
              <w:top w:val="nil"/>
              <w:left w:val="nil"/>
              <w:bottom w:val="nil"/>
              <w:right w:val="nil"/>
            </w:tcBorders>
            <w:noWrap/>
            <w:vAlign w:val="bottom"/>
            <w:hideMark/>
          </w:tcPr>
          <w:p w14:paraId="4243DFB0" w14:textId="77777777" w:rsidR="006403DE" w:rsidRPr="006403DE" w:rsidRDefault="006403DE" w:rsidP="006403DE">
            <w:pPr>
              <w:spacing w:after="0" w:line="240" w:lineRule="auto"/>
              <w:jc w:val="left"/>
              <w:rPr>
                <w:rFonts w:ascii="Calibri" w:eastAsia="Times New Roman" w:hAnsi="Calibri" w:cs="Calibri"/>
                <w:i/>
                <w:iCs/>
                <w:color w:val="000000"/>
                <w:sz w:val="20"/>
                <w:szCs w:val="20"/>
              </w:rPr>
            </w:pPr>
          </w:p>
        </w:tc>
        <w:tc>
          <w:tcPr>
            <w:tcW w:w="1724" w:type="dxa"/>
            <w:tcBorders>
              <w:top w:val="nil"/>
              <w:left w:val="nil"/>
              <w:bottom w:val="nil"/>
              <w:right w:val="nil"/>
            </w:tcBorders>
            <w:noWrap/>
            <w:vAlign w:val="bottom"/>
            <w:hideMark/>
          </w:tcPr>
          <w:p w14:paraId="40E92D44" w14:textId="77777777" w:rsidR="006403DE" w:rsidRPr="006403DE" w:rsidRDefault="006403DE" w:rsidP="006403DE">
            <w:pPr>
              <w:spacing w:after="0" w:line="240" w:lineRule="auto"/>
              <w:jc w:val="left"/>
              <w:rPr>
                <w:rFonts w:ascii="Times New Roman" w:eastAsia="Times New Roman" w:hAnsi="Times New Roman" w:cs="Times New Roman"/>
                <w:sz w:val="20"/>
                <w:szCs w:val="20"/>
              </w:rPr>
            </w:pPr>
          </w:p>
        </w:tc>
        <w:tc>
          <w:tcPr>
            <w:tcW w:w="828" w:type="dxa"/>
            <w:tcBorders>
              <w:top w:val="nil"/>
              <w:left w:val="nil"/>
              <w:bottom w:val="nil"/>
              <w:right w:val="nil"/>
            </w:tcBorders>
            <w:noWrap/>
            <w:vAlign w:val="bottom"/>
            <w:hideMark/>
          </w:tcPr>
          <w:p w14:paraId="4C7A6ABC" w14:textId="77777777" w:rsidR="006403DE" w:rsidRPr="006403DE" w:rsidRDefault="006403DE" w:rsidP="006403DE">
            <w:pPr>
              <w:spacing w:after="0" w:line="240" w:lineRule="auto"/>
              <w:jc w:val="left"/>
              <w:rPr>
                <w:rFonts w:ascii="Times New Roman" w:eastAsia="Times New Roman" w:hAnsi="Times New Roman" w:cs="Times New Roman"/>
                <w:sz w:val="20"/>
                <w:szCs w:val="20"/>
              </w:rPr>
            </w:pPr>
          </w:p>
        </w:tc>
        <w:tc>
          <w:tcPr>
            <w:tcW w:w="828" w:type="dxa"/>
            <w:tcBorders>
              <w:top w:val="nil"/>
              <w:left w:val="nil"/>
              <w:bottom w:val="nil"/>
              <w:right w:val="nil"/>
            </w:tcBorders>
            <w:noWrap/>
            <w:vAlign w:val="bottom"/>
            <w:hideMark/>
          </w:tcPr>
          <w:p w14:paraId="0F5D90C2" w14:textId="77777777" w:rsidR="006403DE" w:rsidRPr="006403DE" w:rsidRDefault="006403DE" w:rsidP="006403DE">
            <w:pPr>
              <w:spacing w:after="0" w:line="240" w:lineRule="auto"/>
              <w:jc w:val="left"/>
              <w:rPr>
                <w:rFonts w:ascii="Times New Roman" w:eastAsia="Times New Roman" w:hAnsi="Times New Roman" w:cs="Times New Roman"/>
                <w:sz w:val="20"/>
                <w:szCs w:val="20"/>
              </w:rPr>
            </w:pPr>
          </w:p>
        </w:tc>
      </w:tr>
      <w:tr w:rsidR="006403DE" w:rsidRPr="006403DE" w14:paraId="05A12531" w14:textId="77777777" w:rsidTr="006403DE">
        <w:trPr>
          <w:trHeight w:val="300"/>
          <w:jc w:val="center"/>
        </w:trPr>
        <w:tc>
          <w:tcPr>
            <w:tcW w:w="360" w:type="dxa"/>
            <w:tcBorders>
              <w:top w:val="nil"/>
              <w:left w:val="nil"/>
              <w:bottom w:val="nil"/>
              <w:right w:val="nil"/>
            </w:tcBorders>
            <w:noWrap/>
            <w:vAlign w:val="bottom"/>
            <w:hideMark/>
          </w:tcPr>
          <w:p w14:paraId="3E84D8C8" w14:textId="77777777" w:rsidR="006403DE" w:rsidRPr="006403DE" w:rsidRDefault="006403DE" w:rsidP="006403DE">
            <w:pPr>
              <w:spacing w:after="0" w:line="240" w:lineRule="auto"/>
              <w:jc w:val="left"/>
              <w:rPr>
                <w:rFonts w:ascii="Times New Roman" w:eastAsia="Times New Roman" w:hAnsi="Times New Roman" w:cs="Times New Roman"/>
                <w:sz w:val="20"/>
                <w:szCs w:val="20"/>
              </w:rPr>
            </w:pPr>
          </w:p>
        </w:tc>
        <w:tc>
          <w:tcPr>
            <w:tcW w:w="3700" w:type="dxa"/>
            <w:tcBorders>
              <w:top w:val="nil"/>
              <w:left w:val="nil"/>
              <w:bottom w:val="nil"/>
              <w:right w:val="nil"/>
            </w:tcBorders>
            <w:noWrap/>
            <w:vAlign w:val="bottom"/>
            <w:hideMark/>
          </w:tcPr>
          <w:p w14:paraId="097D439B" w14:textId="77777777" w:rsidR="006403DE" w:rsidRPr="006403DE" w:rsidRDefault="006403DE" w:rsidP="006403DE">
            <w:pPr>
              <w:spacing w:after="0" w:line="240" w:lineRule="auto"/>
              <w:jc w:val="left"/>
              <w:rPr>
                <w:rFonts w:ascii="Calibri" w:eastAsia="Times New Roman" w:hAnsi="Calibri" w:cs="Calibri"/>
                <w:color w:val="000000"/>
                <w:sz w:val="20"/>
                <w:szCs w:val="20"/>
              </w:rPr>
            </w:pPr>
            <w:r w:rsidRPr="006403DE">
              <w:rPr>
                <w:rFonts w:ascii="Calibri" w:eastAsia="Times New Roman" w:hAnsi="Calibri" w:cs="Calibri"/>
                <w:color w:val="000000"/>
                <w:sz w:val="20"/>
                <w:szCs w:val="20"/>
              </w:rPr>
              <w:t>Secondary and under</w:t>
            </w:r>
          </w:p>
        </w:tc>
        <w:tc>
          <w:tcPr>
            <w:tcW w:w="262" w:type="dxa"/>
            <w:tcBorders>
              <w:top w:val="nil"/>
              <w:left w:val="nil"/>
              <w:bottom w:val="nil"/>
              <w:right w:val="nil"/>
            </w:tcBorders>
            <w:noWrap/>
            <w:vAlign w:val="bottom"/>
            <w:hideMark/>
          </w:tcPr>
          <w:p w14:paraId="259747B5" w14:textId="77777777" w:rsidR="006403DE" w:rsidRPr="006403DE" w:rsidRDefault="006403DE" w:rsidP="006403DE">
            <w:pPr>
              <w:spacing w:after="0" w:line="240" w:lineRule="auto"/>
              <w:jc w:val="left"/>
              <w:rPr>
                <w:rFonts w:ascii="Calibri" w:eastAsia="Times New Roman" w:hAnsi="Calibri" w:cs="Calibri"/>
                <w:color w:val="000000"/>
                <w:sz w:val="20"/>
                <w:szCs w:val="20"/>
              </w:rPr>
            </w:pPr>
          </w:p>
        </w:tc>
        <w:tc>
          <w:tcPr>
            <w:tcW w:w="1724" w:type="dxa"/>
            <w:tcBorders>
              <w:top w:val="nil"/>
              <w:left w:val="nil"/>
              <w:bottom w:val="nil"/>
              <w:right w:val="nil"/>
            </w:tcBorders>
            <w:noWrap/>
            <w:vAlign w:val="bottom"/>
            <w:hideMark/>
          </w:tcPr>
          <w:p w14:paraId="37A6BFA6" w14:textId="77777777" w:rsidR="006403DE" w:rsidRPr="006403DE" w:rsidRDefault="006403DE" w:rsidP="006403DE">
            <w:pPr>
              <w:spacing w:after="0" w:line="240" w:lineRule="auto"/>
              <w:jc w:val="left"/>
              <w:rPr>
                <w:rFonts w:ascii="Calibri" w:eastAsia="Times New Roman" w:hAnsi="Calibri" w:cs="Calibri"/>
                <w:color w:val="000000"/>
                <w:sz w:val="20"/>
                <w:szCs w:val="20"/>
              </w:rPr>
            </w:pPr>
            <w:r w:rsidRPr="006403DE">
              <w:rPr>
                <w:rFonts w:ascii="Calibri" w:eastAsia="Times New Roman" w:hAnsi="Calibri" w:cs="Calibri"/>
                <w:color w:val="000000"/>
                <w:sz w:val="20"/>
                <w:szCs w:val="20"/>
              </w:rPr>
              <w:t>0.116***</w:t>
            </w:r>
          </w:p>
        </w:tc>
        <w:tc>
          <w:tcPr>
            <w:tcW w:w="828" w:type="dxa"/>
            <w:tcBorders>
              <w:top w:val="nil"/>
              <w:left w:val="nil"/>
              <w:bottom w:val="nil"/>
              <w:right w:val="nil"/>
            </w:tcBorders>
            <w:noWrap/>
            <w:vAlign w:val="bottom"/>
            <w:hideMark/>
          </w:tcPr>
          <w:p w14:paraId="1313156E" w14:textId="77777777" w:rsidR="006403DE" w:rsidRPr="006403DE" w:rsidRDefault="006403DE" w:rsidP="006403DE">
            <w:pPr>
              <w:spacing w:after="0" w:line="240" w:lineRule="auto"/>
              <w:jc w:val="right"/>
              <w:rPr>
                <w:rFonts w:ascii="Calibri" w:eastAsia="Times New Roman" w:hAnsi="Calibri" w:cs="Calibri"/>
                <w:color w:val="000000"/>
                <w:sz w:val="20"/>
                <w:szCs w:val="20"/>
              </w:rPr>
            </w:pPr>
            <w:r w:rsidRPr="006403DE">
              <w:rPr>
                <w:rFonts w:ascii="Calibri" w:eastAsia="Times New Roman" w:hAnsi="Calibri" w:cs="Calibri"/>
                <w:color w:val="000000"/>
                <w:sz w:val="20"/>
                <w:szCs w:val="20"/>
              </w:rPr>
              <w:t>0.104</w:t>
            </w:r>
          </w:p>
        </w:tc>
        <w:tc>
          <w:tcPr>
            <w:tcW w:w="828" w:type="dxa"/>
            <w:tcBorders>
              <w:top w:val="nil"/>
              <w:left w:val="nil"/>
              <w:bottom w:val="nil"/>
              <w:right w:val="nil"/>
            </w:tcBorders>
            <w:noWrap/>
            <w:vAlign w:val="bottom"/>
            <w:hideMark/>
          </w:tcPr>
          <w:p w14:paraId="5E29D36F" w14:textId="77777777" w:rsidR="006403DE" w:rsidRPr="006403DE" w:rsidRDefault="006403DE" w:rsidP="006403DE">
            <w:pPr>
              <w:spacing w:after="0" w:line="240" w:lineRule="auto"/>
              <w:jc w:val="right"/>
              <w:rPr>
                <w:rFonts w:ascii="Calibri" w:eastAsia="Times New Roman" w:hAnsi="Calibri" w:cs="Calibri"/>
                <w:color w:val="000000"/>
                <w:sz w:val="20"/>
                <w:szCs w:val="20"/>
              </w:rPr>
            </w:pPr>
            <w:r w:rsidRPr="006403DE">
              <w:rPr>
                <w:rFonts w:ascii="Calibri" w:eastAsia="Times New Roman" w:hAnsi="Calibri" w:cs="Calibri"/>
                <w:color w:val="000000"/>
                <w:sz w:val="20"/>
                <w:szCs w:val="20"/>
              </w:rPr>
              <w:t>0.127</w:t>
            </w:r>
          </w:p>
        </w:tc>
      </w:tr>
      <w:tr w:rsidR="006403DE" w:rsidRPr="006403DE" w14:paraId="43A942C6" w14:textId="77777777" w:rsidTr="006403DE">
        <w:trPr>
          <w:trHeight w:val="300"/>
          <w:jc w:val="center"/>
        </w:trPr>
        <w:tc>
          <w:tcPr>
            <w:tcW w:w="360" w:type="dxa"/>
            <w:tcBorders>
              <w:top w:val="nil"/>
              <w:left w:val="nil"/>
              <w:bottom w:val="nil"/>
              <w:right w:val="nil"/>
            </w:tcBorders>
            <w:noWrap/>
            <w:vAlign w:val="bottom"/>
            <w:hideMark/>
          </w:tcPr>
          <w:p w14:paraId="121C7071" w14:textId="77777777" w:rsidR="006403DE" w:rsidRPr="006403DE" w:rsidRDefault="006403DE" w:rsidP="006403DE">
            <w:pPr>
              <w:spacing w:after="0" w:line="240" w:lineRule="auto"/>
              <w:jc w:val="right"/>
              <w:rPr>
                <w:rFonts w:ascii="Calibri" w:eastAsia="Times New Roman" w:hAnsi="Calibri" w:cs="Calibri"/>
                <w:color w:val="000000"/>
                <w:sz w:val="20"/>
                <w:szCs w:val="20"/>
              </w:rPr>
            </w:pPr>
          </w:p>
        </w:tc>
        <w:tc>
          <w:tcPr>
            <w:tcW w:w="3700" w:type="dxa"/>
            <w:tcBorders>
              <w:top w:val="nil"/>
              <w:left w:val="nil"/>
              <w:bottom w:val="nil"/>
              <w:right w:val="nil"/>
            </w:tcBorders>
            <w:noWrap/>
            <w:vAlign w:val="bottom"/>
            <w:hideMark/>
          </w:tcPr>
          <w:p w14:paraId="681255E5" w14:textId="77777777" w:rsidR="006403DE" w:rsidRPr="006403DE" w:rsidRDefault="006403DE" w:rsidP="006403DE">
            <w:pPr>
              <w:spacing w:after="0" w:line="240" w:lineRule="auto"/>
              <w:jc w:val="left"/>
              <w:rPr>
                <w:rFonts w:ascii="Calibri" w:eastAsia="Times New Roman" w:hAnsi="Calibri" w:cs="Calibri"/>
                <w:color w:val="000000"/>
                <w:sz w:val="20"/>
                <w:szCs w:val="20"/>
              </w:rPr>
            </w:pPr>
            <w:r w:rsidRPr="006403DE">
              <w:rPr>
                <w:rFonts w:ascii="Calibri" w:eastAsia="Times New Roman" w:hAnsi="Calibri" w:cs="Calibri"/>
                <w:color w:val="000000"/>
                <w:sz w:val="20"/>
                <w:szCs w:val="20"/>
              </w:rPr>
              <w:t>Tertiary and over</w:t>
            </w:r>
          </w:p>
        </w:tc>
        <w:tc>
          <w:tcPr>
            <w:tcW w:w="262" w:type="dxa"/>
            <w:tcBorders>
              <w:top w:val="nil"/>
              <w:left w:val="nil"/>
              <w:bottom w:val="nil"/>
              <w:right w:val="nil"/>
            </w:tcBorders>
            <w:noWrap/>
            <w:vAlign w:val="bottom"/>
            <w:hideMark/>
          </w:tcPr>
          <w:p w14:paraId="227630E6" w14:textId="77777777" w:rsidR="006403DE" w:rsidRPr="006403DE" w:rsidRDefault="006403DE" w:rsidP="006403DE">
            <w:pPr>
              <w:spacing w:after="0" w:line="240" w:lineRule="auto"/>
              <w:jc w:val="left"/>
              <w:rPr>
                <w:rFonts w:ascii="Calibri" w:eastAsia="Times New Roman" w:hAnsi="Calibri" w:cs="Calibri"/>
                <w:color w:val="000000"/>
                <w:sz w:val="20"/>
                <w:szCs w:val="20"/>
              </w:rPr>
            </w:pPr>
          </w:p>
        </w:tc>
        <w:tc>
          <w:tcPr>
            <w:tcW w:w="1724" w:type="dxa"/>
            <w:tcBorders>
              <w:top w:val="nil"/>
              <w:left w:val="nil"/>
              <w:bottom w:val="nil"/>
              <w:right w:val="nil"/>
            </w:tcBorders>
            <w:noWrap/>
            <w:vAlign w:val="bottom"/>
            <w:hideMark/>
          </w:tcPr>
          <w:p w14:paraId="2B3EA0F4" w14:textId="77777777" w:rsidR="006403DE" w:rsidRPr="006403DE" w:rsidRDefault="006403DE" w:rsidP="006403DE">
            <w:pPr>
              <w:spacing w:after="0" w:line="240" w:lineRule="auto"/>
              <w:jc w:val="left"/>
              <w:rPr>
                <w:rFonts w:ascii="Calibri" w:eastAsia="Times New Roman" w:hAnsi="Calibri" w:cs="Calibri"/>
                <w:color w:val="000000"/>
                <w:sz w:val="20"/>
                <w:szCs w:val="20"/>
              </w:rPr>
            </w:pPr>
            <w:r w:rsidRPr="006403DE">
              <w:rPr>
                <w:rFonts w:ascii="Calibri" w:eastAsia="Times New Roman" w:hAnsi="Calibri" w:cs="Calibri"/>
                <w:color w:val="000000"/>
                <w:sz w:val="20"/>
                <w:szCs w:val="20"/>
              </w:rPr>
              <w:t>0.221***</w:t>
            </w:r>
          </w:p>
        </w:tc>
        <w:tc>
          <w:tcPr>
            <w:tcW w:w="828" w:type="dxa"/>
            <w:tcBorders>
              <w:top w:val="nil"/>
              <w:left w:val="nil"/>
              <w:bottom w:val="nil"/>
              <w:right w:val="nil"/>
            </w:tcBorders>
            <w:noWrap/>
            <w:vAlign w:val="bottom"/>
            <w:hideMark/>
          </w:tcPr>
          <w:p w14:paraId="1CB1695D" w14:textId="77777777" w:rsidR="006403DE" w:rsidRPr="006403DE" w:rsidRDefault="006403DE" w:rsidP="006403DE">
            <w:pPr>
              <w:spacing w:after="0" w:line="240" w:lineRule="auto"/>
              <w:jc w:val="right"/>
              <w:rPr>
                <w:rFonts w:ascii="Calibri" w:eastAsia="Times New Roman" w:hAnsi="Calibri" w:cs="Calibri"/>
                <w:color w:val="000000"/>
                <w:sz w:val="20"/>
                <w:szCs w:val="20"/>
              </w:rPr>
            </w:pPr>
            <w:r w:rsidRPr="006403DE">
              <w:rPr>
                <w:rFonts w:ascii="Calibri" w:eastAsia="Times New Roman" w:hAnsi="Calibri" w:cs="Calibri"/>
                <w:color w:val="000000"/>
                <w:sz w:val="20"/>
                <w:szCs w:val="20"/>
              </w:rPr>
              <w:t>0.210</w:t>
            </w:r>
          </w:p>
        </w:tc>
        <w:tc>
          <w:tcPr>
            <w:tcW w:w="828" w:type="dxa"/>
            <w:tcBorders>
              <w:top w:val="nil"/>
              <w:left w:val="nil"/>
              <w:bottom w:val="nil"/>
              <w:right w:val="nil"/>
            </w:tcBorders>
            <w:noWrap/>
            <w:vAlign w:val="bottom"/>
            <w:hideMark/>
          </w:tcPr>
          <w:p w14:paraId="5D23DB84" w14:textId="77777777" w:rsidR="006403DE" w:rsidRPr="006403DE" w:rsidRDefault="006403DE" w:rsidP="006403DE">
            <w:pPr>
              <w:spacing w:after="0" w:line="240" w:lineRule="auto"/>
              <w:jc w:val="right"/>
              <w:rPr>
                <w:rFonts w:ascii="Calibri" w:eastAsia="Times New Roman" w:hAnsi="Calibri" w:cs="Calibri"/>
                <w:color w:val="000000"/>
                <w:sz w:val="20"/>
                <w:szCs w:val="20"/>
              </w:rPr>
            </w:pPr>
            <w:r w:rsidRPr="006403DE">
              <w:rPr>
                <w:rFonts w:ascii="Calibri" w:eastAsia="Times New Roman" w:hAnsi="Calibri" w:cs="Calibri"/>
                <w:color w:val="000000"/>
                <w:sz w:val="20"/>
                <w:szCs w:val="20"/>
              </w:rPr>
              <w:t>0.233</w:t>
            </w:r>
          </w:p>
        </w:tc>
      </w:tr>
      <w:tr w:rsidR="006403DE" w:rsidRPr="006403DE" w14:paraId="6411F09A" w14:textId="77777777" w:rsidTr="006403DE">
        <w:trPr>
          <w:trHeight w:val="300"/>
          <w:jc w:val="center"/>
        </w:trPr>
        <w:tc>
          <w:tcPr>
            <w:tcW w:w="360" w:type="dxa"/>
            <w:tcBorders>
              <w:top w:val="nil"/>
              <w:left w:val="nil"/>
              <w:bottom w:val="nil"/>
              <w:right w:val="nil"/>
            </w:tcBorders>
            <w:noWrap/>
            <w:vAlign w:val="bottom"/>
            <w:hideMark/>
          </w:tcPr>
          <w:p w14:paraId="4F738E61" w14:textId="77777777" w:rsidR="006403DE" w:rsidRPr="006403DE" w:rsidRDefault="006403DE" w:rsidP="006403DE">
            <w:pPr>
              <w:spacing w:after="0" w:line="240" w:lineRule="auto"/>
              <w:jc w:val="right"/>
              <w:rPr>
                <w:rFonts w:ascii="Calibri" w:eastAsia="Times New Roman" w:hAnsi="Calibri" w:cs="Calibri"/>
                <w:color w:val="000000"/>
                <w:sz w:val="20"/>
                <w:szCs w:val="20"/>
              </w:rPr>
            </w:pPr>
          </w:p>
        </w:tc>
        <w:tc>
          <w:tcPr>
            <w:tcW w:w="3700" w:type="dxa"/>
            <w:tcBorders>
              <w:top w:val="nil"/>
              <w:left w:val="nil"/>
              <w:bottom w:val="nil"/>
              <w:right w:val="nil"/>
            </w:tcBorders>
            <w:noWrap/>
            <w:vAlign w:val="bottom"/>
            <w:hideMark/>
          </w:tcPr>
          <w:p w14:paraId="1F2A0106" w14:textId="77777777" w:rsidR="006403DE" w:rsidRPr="006403DE" w:rsidRDefault="006403DE" w:rsidP="006403DE">
            <w:pPr>
              <w:spacing w:after="0" w:line="240" w:lineRule="auto"/>
              <w:jc w:val="left"/>
              <w:rPr>
                <w:rFonts w:ascii="Calibri" w:eastAsia="Times New Roman" w:hAnsi="Calibri" w:cs="Calibri"/>
                <w:color w:val="000000"/>
                <w:sz w:val="20"/>
                <w:szCs w:val="20"/>
              </w:rPr>
            </w:pPr>
            <w:r w:rsidRPr="006403DE">
              <w:rPr>
                <w:rFonts w:ascii="Calibri" w:eastAsia="Times New Roman" w:hAnsi="Calibri" w:cs="Calibri"/>
                <w:color w:val="000000"/>
                <w:sz w:val="20"/>
                <w:szCs w:val="20"/>
              </w:rPr>
              <w:t>Currently attending school</w:t>
            </w:r>
          </w:p>
        </w:tc>
        <w:tc>
          <w:tcPr>
            <w:tcW w:w="262" w:type="dxa"/>
            <w:tcBorders>
              <w:top w:val="nil"/>
              <w:left w:val="nil"/>
              <w:bottom w:val="nil"/>
              <w:right w:val="nil"/>
            </w:tcBorders>
            <w:noWrap/>
            <w:vAlign w:val="bottom"/>
            <w:hideMark/>
          </w:tcPr>
          <w:p w14:paraId="2975F83B" w14:textId="77777777" w:rsidR="006403DE" w:rsidRPr="006403DE" w:rsidRDefault="006403DE" w:rsidP="006403DE">
            <w:pPr>
              <w:spacing w:after="0" w:line="240" w:lineRule="auto"/>
              <w:jc w:val="left"/>
              <w:rPr>
                <w:rFonts w:ascii="Calibri" w:eastAsia="Times New Roman" w:hAnsi="Calibri" w:cs="Calibri"/>
                <w:color w:val="000000"/>
                <w:sz w:val="20"/>
                <w:szCs w:val="20"/>
              </w:rPr>
            </w:pPr>
          </w:p>
        </w:tc>
        <w:tc>
          <w:tcPr>
            <w:tcW w:w="1724" w:type="dxa"/>
            <w:tcBorders>
              <w:top w:val="nil"/>
              <w:left w:val="nil"/>
              <w:bottom w:val="nil"/>
              <w:right w:val="nil"/>
            </w:tcBorders>
            <w:noWrap/>
            <w:vAlign w:val="bottom"/>
            <w:hideMark/>
          </w:tcPr>
          <w:p w14:paraId="2DC0B9FD" w14:textId="77777777" w:rsidR="006403DE" w:rsidRPr="006403DE" w:rsidRDefault="006403DE" w:rsidP="006403DE">
            <w:pPr>
              <w:spacing w:after="0" w:line="240" w:lineRule="auto"/>
              <w:jc w:val="left"/>
              <w:rPr>
                <w:rFonts w:ascii="Calibri" w:eastAsia="Times New Roman" w:hAnsi="Calibri" w:cs="Calibri"/>
                <w:color w:val="000000"/>
                <w:sz w:val="20"/>
                <w:szCs w:val="20"/>
              </w:rPr>
            </w:pPr>
            <w:r w:rsidRPr="006403DE">
              <w:rPr>
                <w:rFonts w:ascii="Calibri" w:eastAsia="Times New Roman" w:hAnsi="Calibri" w:cs="Calibri"/>
                <w:color w:val="000000"/>
                <w:sz w:val="20"/>
                <w:szCs w:val="20"/>
              </w:rPr>
              <w:t>-0.060***</w:t>
            </w:r>
          </w:p>
        </w:tc>
        <w:tc>
          <w:tcPr>
            <w:tcW w:w="828" w:type="dxa"/>
            <w:tcBorders>
              <w:top w:val="nil"/>
              <w:left w:val="nil"/>
              <w:bottom w:val="nil"/>
              <w:right w:val="nil"/>
            </w:tcBorders>
            <w:noWrap/>
            <w:vAlign w:val="bottom"/>
            <w:hideMark/>
          </w:tcPr>
          <w:p w14:paraId="55ABEE7C" w14:textId="77777777" w:rsidR="006403DE" w:rsidRPr="006403DE" w:rsidRDefault="006403DE" w:rsidP="006403DE">
            <w:pPr>
              <w:spacing w:after="0" w:line="240" w:lineRule="auto"/>
              <w:jc w:val="right"/>
              <w:rPr>
                <w:rFonts w:ascii="Calibri" w:eastAsia="Times New Roman" w:hAnsi="Calibri" w:cs="Calibri"/>
                <w:color w:val="000000"/>
                <w:sz w:val="20"/>
                <w:szCs w:val="20"/>
              </w:rPr>
            </w:pPr>
            <w:r w:rsidRPr="006403DE">
              <w:rPr>
                <w:rFonts w:ascii="Calibri" w:eastAsia="Times New Roman" w:hAnsi="Calibri" w:cs="Calibri"/>
                <w:color w:val="000000"/>
                <w:sz w:val="20"/>
                <w:szCs w:val="20"/>
              </w:rPr>
              <w:t>-0.083</w:t>
            </w:r>
          </w:p>
        </w:tc>
        <w:tc>
          <w:tcPr>
            <w:tcW w:w="828" w:type="dxa"/>
            <w:tcBorders>
              <w:top w:val="nil"/>
              <w:left w:val="nil"/>
              <w:bottom w:val="nil"/>
              <w:right w:val="nil"/>
            </w:tcBorders>
            <w:noWrap/>
            <w:vAlign w:val="bottom"/>
            <w:hideMark/>
          </w:tcPr>
          <w:p w14:paraId="3FE8E124" w14:textId="77777777" w:rsidR="006403DE" w:rsidRPr="006403DE" w:rsidRDefault="006403DE" w:rsidP="006403DE">
            <w:pPr>
              <w:spacing w:after="0" w:line="240" w:lineRule="auto"/>
              <w:jc w:val="right"/>
              <w:rPr>
                <w:rFonts w:ascii="Calibri" w:eastAsia="Times New Roman" w:hAnsi="Calibri" w:cs="Calibri"/>
                <w:color w:val="000000"/>
                <w:sz w:val="20"/>
                <w:szCs w:val="20"/>
              </w:rPr>
            </w:pPr>
            <w:r w:rsidRPr="006403DE">
              <w:rPr>
                <w:rFonts w:ascii="Calibri" w:eastAsia="Times New Roman" w:hAnsi="Calibri" w:cs="Calibri"/>
                <w:color w:val="000000"/>
                <w:sz w:val="20"/>
                <w:szCs w:val="20"/>
              </w:rPr>
              <w:t>-0.036</w:t>
            </w:r>
          </w:p>
        </w:tc>
      </w:tr>
      <w:tr w:rsidR="006403DE" w:rsidRPr="006403DE" w14:paraId="1A1D3AE0" w14:textId="77777777" w:rsidTr="006403DE">
        <w:trPr>
          <w:trHeight w:val="300"/>
          <w:jc w:val="center"/>
        </w:trPr>
        <w:tc>
          <w:tcPr>
            <w:tcW w:w="4060" w:type="dxa"/>
            <w:gridSpan w:val="2"/>
            <w:tcBorders>
              <w:top w:val="nil"/>
              <w:left w:val="nil"/>
              <w:bottom w:val="nil"/>
              <w:right w:val="nil"/>
            </w:tcBorders>
            <w:noWrap/>
            <w:vAlign w:val="bottom"/>
            <w:hideMark/>
          </w:tcPr>
          <w:p w14:paraId="1F482B93" w14:textId="77777777" w:rsidR="006403DE" w:rsidRPr="006403DE" w:rsidRDefault="006403DE" w:rsidP="006403DE">
            <w:pPr>
              <w:spacing w:after="0" w:line="240" w:lineRule="auto"/>
              <w:jc w:val="left"/>
              <w:rPr>
                <w:rFonts w:ascii="Calibri" w:eastAsia="Times New Roman" w:hAnsi="Calibri" w:cs="Calibri"/>
                <w:color w:val="000000"/>
                <w:sz w:val="20"/>
                <w:szCs w:val="20"/>
              </w:rPr>
            </w:pPr>
            <w:r w:rsidRPr="006403DE">
              <w:rPr>
                <w:rFonts w:ascii="Calibri" w:eastAsia="Times New Roman" w:hAnsi="Calibri" w:cs="Calibri"/>
                <w:color w:val="000000"/>
                <w:sz w:val="20"/>
                <w:szCs w:val="20"/>
              </w:rPr>
              <w:t>Not born in Uruguay</w:t>
            </w:r>
          </w:p>
        </w:tc>
        <w:tc>
          <w:tcPr>
            <w:tcW w:w="262" w:type="dxa"/>
            <w:tcBorders>
              <w:top w:val="nil"/>
              <w:left w:val="nil"/>
              <w:bottom w:val="nil"/>
              <w:right w:val="nil"/>
            </w:tcBorders>
            <w:noWrap/>
            <w:vAlign w:val="bottom"/>
            <w:hideMark/>
          </w:tcPr>
          <w:p w14:paraId="2EBC61E6" w14:textId="77777777" w:rsidR="006403DE" w:rsidRPr="006403DE" w:rsidRDefault="006403DE" w:rsidP="006403DE">
            <w:pPr>
              <w:spacing w:after="0" w:line="240" w:lineRule="auto"/>
              <w:jc w:val="left"/>
              <w:rPr>
                <w:rFonts w:ascii="Calibri" w:eastAsia="Times New Roman" w:hAnsi="Calibri" w:cs="Calibri"/>
                <w:color w:val="000000"/>
                <w:sz w:val="20"/>
                <w:szCs w:val="20"/>
              </w:rPr>
            </w:pPr>
          </w:p>
        </w:tc>
        <w:tc>
          <w:tcPr>
            <w:tcW w:w="1724" w:type="dxa"/>
            <w:tcBorders>
              <w:top w:val="nil"/>
              <w:left w:val="nil"/>
              <w:bottom w:val="nil"/>
              <w:right w:val="nil"/>
            </w:tcBorders>
            <w:noWrap/>
            <w:vAlign w:val="bottom"/>
            <w:hideMark/>
          </w:tcPr>
          <w:p w14:paraId="0C047093" w14:textId="77777777" w:rsidR="006403DE" w:rsidRPr="006403DE" w:rsidRDefault="006403DE" w:rsidP="006403DE">
            <w:pPr>
              <w:spacing w:after="0" w:line="240" w:lineRule="auto"/>
              <w:jc w:val="left"/>
              <w:rPr>
                <w:rFonts w:ascii="Calibri" w:eastAsia="Times New Roman" w:hAnsi="Calibri" w:cs="Calibri"/>
                <w:color w:val="000000"/>
                <w:sz w:val="20"/>
                <w:szCs w:val="20"/>
              </w:rPr>
            </w:pPr>
            <w:r w:rsidRPr="006403DE">
              <w:rPr>
                <w:rFonts w:ascii="Calibri" w:eastAsia="Times New Roman" w:hAnsi="Calibri" w:cs="Calibri"/>
                <w:color w:val="000000"/>
                <w:sz w:val="20"/>
                <w:szCs w:val="20"/>
              </w:rPr>
              <w:t>-0.094***</w:t>
            </w:r>
          </w:p>
        </w:tc>
        <w:tc>
          <w:tcPr>
            <w:tcW w:w="828" w:type="dxa"/>
            <w:tcBorders>
              <w:top w:val="nil"/>
              <w:left w:val="nil"/>
              <w:bottom w:val="nil"/>
              <w:right w:val="nil"/>
            </w:tcBorders>
            <w:noWrap/>
            <w:vAlign w:val="bottom"/>
            <w:hideMark/>
          </w:tcPr>
          <w:p w14:paraId="215F7DD6" w14:textId="77777777" w:rsidR="006403DE" w:rsidRPr="006403DE" w:rsidRDefault="006403DE" w:rsidP="006403DE">
            <w:pPr>
              <w:spacing w:after="0" w:line="240" w:lineRule="auto"/>
              <w:jc w:val="right"/>
              <w:rPr>
                <w:rFonts w:ascii="Calibri" w:eastAsia="Times New Roman" w:hAnsi="Calibri" w:cs="Calibri"/>
                <w:color w:val="000000"/>
                <w:sz w:val="20"/>
                <w:szCs w:val="20"/>
              </w:rPr>
            </w:pPr>
            <w:r w:rsidRPr="006403DE">
              <w:rPr>
                <w:rFonts w:ascii="Calibri" w:eastAsia="Times New Roman" w:hAnsi="Calibri" w:cs="Calibri"/>
                <w:color w:val="000000"/>
                <w:sz w:val="20"/>
                <w:szCs w:val="20"/>
              </w:rPr>
              <w:t>-0.129</w:t>
            </w:r>
          </w:p>
        </w:tc>
        <w:tc>
          <w:tcPr>
            <w:tcW w:w="828" w:type="dxa"/>
            <w:tcBorders>
              <w:top w:val="nil"/>
              <w:left w:val="nil"/>
              <w:bottom w:val="nil"/>
              <w:right w:val="nil"/>
            </w:tcBorders>
            <w:noWrap/>
            <w:vAlign w:val="bottom"/>
            <w:hideMark/>
          </w:tcPr>
          <w:p w14:paraId="676B4AB0" w14:textId="77777777" w:rsidR="006403DE" w:rsidRPr="006403DE" w:rsidRDefault="006403DE" w:rsidP="006403DE">
            <w:pPr>
              <w:spacing w:after="0" w:line="240" w:lineRule="auto"/>
              <w:jc w:val="right"/>
              <w:rPr>
                <w:rFonts w:ascii="Calibri" w:eastAsia="Times New Roman" w:hAnsi="Calibri" w:cs="Calibri"/>
                <w:color w:val="000000"/>
                <w:sz w:val="20"/>
                <w:szCs w:val="20"/>
              </w:rPr>
            </w:pPr>
            <w:r w:rsidRPr="006403DE">
              <w:rPr>
                <w:rFonts w:ascii="Calibri" w:eastAsia="Times New Roman" w:hAnsi="Calibri" w:cs="Calibri"/>
                <w:color w:val="000000"/>
                <w:sz w:val="20"/>
                <w:szCs w:val="20"/>
              </w:rPr>
              <w:t>-0.059</w:t>
            </w:r>
          </w:p>
        </w:tc>
      </w:tr>
      <w:tr w:rsidR="006403DE" w:rsidRPr="006403DE" w14:paraId="6842EEDA" w14:textId="77777777" w:rsidTr="006403DE">
        <w:trPr>
          <w:trHeight w:val="300"/>
          <w:jc w:val="center"/>
        </w:trPr>
        <w:tc>
          <w:tcPr>
            <w:tcW w:w="4060" w:type="dxa"/>
            <w:gridSpan w:val="2"/>
            <w:tcBorders>
              <w:top w:val="nil"/>
              <w:left w:val="nil"/>
              <w:bottom w:val="nil"/>
              <w:right w:val="nil"/>
            </w:tcBorders>
            <w:noWrap/>
            <w:vAlign w:val="bottom"/>
            <w:hideMark/>
          </w:tcPr>
          <w:p w14:paraId="6E685D4B" w14:textId="77777777" w:rsidR="006403DE" w:rsidRPr="006403DE" w:rsidRDefault="006403DE" w:rsidP="006403DE">
            <w:pPr>
              <w:spacing w:after="0" w:line="240" w:lineRule="auto"/>
              <w:jc w:val="left"/>
              <w:rPr>
                <w:rFonts w:ascii="Calibri" w:eastAsia="Times New Roman" w:hAnsi="Calibri" w:cs="Calibri"/>
                <w:i/>
                <w:iCs/>
                <w:color w:val="000000"/>
                <w:sz w:val="20"/>
                <w:szCs w:val="20"/>
              </w:rPr>
            </w:pPr>
            <w:r w:rsidRPr="006403DE">
              <w:rPr>
                <w:rFonts w:ascii="Calibri" w:eastAsia="Times New Roman" w:hAnsi="Calibri" w:cs="Calibri"/>
                <w:i/>
                <w:iCs/>
                <w:color w:val="000000"/>
                <w:sz w:val="20"/>
                <w:szCs w:val="20"/>
              </w:rPr>
              <w:t>Household demographic typology</w:t>
            </w:r>
          </w:p>
        </w:tc>
        <w:tc>
          <w:tcPr>
            <w:tcW w:w="262" w:type="dxa"/>
            <w:tcBorders>
              <w:top w:val="nil"/>
              <w:left w:val="nil"/>
              <w:bottom w:val="nil"/>
              <w:right w:val="nil"/>
            </w:tcBorders>
            <w:noWrap/>
            <w:vAlign w:val="bottom"/>
            <w:hideMark/>
          </w:tcPr>
          <w:p w14:paraId="34CFEFBF" w14:textId="77777777" w:rsidR="006403DE" w:rsidRPr="006403DE" w:rsidRDefault="006403DE" w:rsidP="006403DE">
            <w:pPr>
              <w:spacing w:after="0" w:line="240" w:lineRule="auto"/>
              <w:jc w:val="left"/>
              <w:rPr>
                <w:rFonts w:ascii="Calibri" w:eastAsia="Times New Roman" w:hAnsi="Calibri" w:cs="Calibri"/>
                <w:i/>
                <w:iCs/>
                <w:color w:val="000000"/>
                <w:sz w:val="20"/>
                <w:szCs w:val="20"/>
              </w:rPr>
            </w:pPr>
          </w:p>
        </w:tc>
        <w:tc>
          <w:tcPr>
            <w:tcW w:w="1724" w:type="dxa"/>
            <w:tcBorders>
              <w:top w:val="nil"/>
              <w:left w:val="nil"/>
              <w:bottom w:val="nil"/>
              <w:right w:val="nil"/>
            </w:tcBorders>
            <w:noWrap/>
            <w:vAlign w:val="bottom"/>
            <w:hideMark/>
          </w:tcPr>
          <w:p w14:paraId="282D42A3" w14:textId="77777777" w:rsidR="006403DE" w:rsidRPr="006403DE" w:rsidRDefault="006403DE" w:rsidP="006403DE">
            <w:pPr>
              <w:spacing w:after="0" w:line="240" w:lineRule="auto"/>
              <w:jc w:val="left"/>
              <w:rPr>
                <w:rFonts w:ascii="Times New Roman" w:eastAsia="Times New Roman" w:hAnsi="Times New Roman" w:cs="Times New Roman"/>
                <w:sz w:val="20"/>
                <w:szCs w:val="20"/>
              </w:rPr>
            </w:pPr>
          </w:p>
        </w:tc>
        <w:tc>
          <w:tcPr>
            <w:tcW w:w="828" w:type="dxa"/>
            <w:tcBorders>
              <w:top w:val="nil"/>
              <w:left w:val="nil"/>
              <w:bottom w:val="nil"/>
              <w:right w:val="nil"/>
            </w:tcBorders>
            <w:noWrap/>
            <w:vAlign w:val="bottom"/>
            <w:hideMark/>
          </w:tcPr>
          <w:p w14:paraId="6B622F4B" w14:textId="77777777" w:rsidR="006403DE" w:rsidRPr="006403DE" w:rsidRDefault="006403DE" w:rsidP="006403DE">
            <w:pPr>
              <w:spacing w:after="0" w:line="240" w:lineRule="auto"/>
              <w:jc w:val="left"/>
              <w:rPr>
                <w:rFonts w:ascii="Times New Roman" w:eastAsia="Times New Roman" w:hAnsi="Times New Roman" w:cs="Times New Roman"/>
                <w:sz w:val="20"/>
                <w:szCs w:val="20"/>
              </w:rPr>
            </w:pPr>
          </w:p>
        </w:tc>
        <w:tc>
          <w:tcPr>
            <w:tcW w:w="828" w:type="dxa"/>
            <w:tcBorders>
              <w:top w:val="nil"/>
              <w:left w:val="nil"/>
              <w:bottom w:val="nil"/>
              <w:right w:val="nil"/>
            </w:tcBorders>
            <w:noWrap/>
            <w:vAlign w:val="bottom"/>
            <w:hideMark/>
          </w:tcPr>
          <w:p w14:paraId="30BD4669" w14:textId="77777777" w:rsidR="006403DE" w:rsidRPr="006403DE" w:rsidRDefault="006403DE" w:rsidP="006403DE">
            <w:pPr>
              <w:spacing w:after="0" w:line="240" w:lineRule="auto"/>
              <w:jc w:val="left"/>
              <w:rPr>
                <w:rFonts w:ascii="Times New Roman" w:eastAsia="Times New Roman" w:hAnsi="Times New Roman" w:cs="Times New Roman"/>
                <w:sz w:val="20"/>
                <w:szCs w:val="20"/>
              </w:rPr>
            </w:pPr>
          </w:p>
        </w:tc>
      </w:tr>
      <w:tr w:rsidR="006403DE" w:rsidRPr="006403DE" w14:paraId="1DF7D081" w14:textId="77777777" w:rsidTr="006403DE">
        <w:trPr>
          <w:trHeight w:val="300"/>
          <w:jc w:val="center"/>
        </w:trPr>
        <w:tc>
          <w:tcPr>
            <w:tcW w:w="360" w:type="dxa"/>
            <w:tcBorders>
              <w:top w:val="nil"/>
              <w:left w:val="nil"/>
              <w:bottom w:val="nil"/>
              <w:right w:val="nil"/>
            </w:tcBorders>
            <w:noWrap/>
            <w:vAlign w:val="bottom"/>
            <w:hideMark/>
          </w:tcPr>
          <w:p w14:paraId="6AD210B0" w14:textId="77777777" w:rsidR="006403DE" w:rsidRPr="006403DE" w:rsidRDefault="006403DE" w:rsidP="006403DE">
            <w:pPr>
              <w:spacing w:after="0" w:line="240" w:lineRule="auto"/>
              <w:jc w:val="left"/>
              <w:rPr>
                <w:rFonts w:ascii="Times New Roman" w:eastAsia="Times New Roman" w:hAnsi="Times New Roman" w:cs="Times New Roman"/>
                <w:sz w:val="20"/>
                <w:szCs w:val="20"/>
              </w:rPr>
            </w:pPr>
          </w:p>
        </w:tc>
        <w:tc>
          <w:tcPr>
            <w:tcW w:w="3962" w:type="dxa"/>
            <w:gridSpan w:val="2"/>
            <w:tcBorders>
              <w:top w:val="nil"/>
              <w:left w:val="nil"/>
              <w:bottom w:val="nil"/>
              <w:right w:val="nil"/>
            </w:tcBorders>
            <w:noWrap/>
            <w:vAlign w:val="bottom"/>
            <w:hideMark/>
          </w:tcPr>
          <w:p w14:paraId="17D71492" w14:textId="77777777" w:rsidR="006403DE" w:rsidRPr="006403DE" w:rsidRDefault="006403DE" w:rsidP="006403DE">
            <w:pPr>
              <w:spacing w:after="0" w:line="240" w:lineRule="auto"/>
              <w:jc w:val="left"/>
              <w:rPr>
                <w:rFonts w:ascii="Calibri" w:eastAsia="Times New Roman" w:hAnsi="Calibri" w:cs="Calibri"/>
                <w:color w:val="000000"/>
                <w:sz w:val="20"/>
                <w:szCs w:val="20"/>
              </w:rPr>
            </w:pPr>
            <w:r w:rsidRPr="006403DE">
              <w:rPr>
                <w:rFonts w:ascii="Calibri" w:eastAsia="Times New Roman" w:hAnsi="Calibri" w:cs="Calibri"/>
                <w:color w:val="000000"/>
                <w:sz w:val="20"/>
                <w:szCs w:val="20"/>
              </w:rPr>
              <w:t>Couple without individuals under 25</w:t>
            </w:r>
          </w:p>
        </w:tc>
        <w:tc>
          <w:tcPr>
            <w:tcW w:w="1724" w:type="dxa"/>
            <w:tcBorders>
              <w:top w:val="nil"/>
              <w:left w:val="nil"/>
              <w:bottom w:val="nil"/>
              <w:right w:val="nil"/>
            </w:tcBorders>
            <w:noWrap/>
            <w:vAlign w:val="bottom"/>
            <w:hideMark/>
          </w:tcPr>
          <w:p w14:paraId="313CD66B" w14:textId="77777777" w:rsidR="006403DE" w:rsidRPr="006403DE" w:rsidRDefault="006403DE" w:rsidP="006403DE">
            <w:pPr>
              <w:spacing w:after="0" w:line="240" w:lineRule="auto"/>
              <w:jc w:val="left"/>
              <w:rPr>
                <w:rFonts w:ascii="Calibri" w:eastAsia="Times New Roman" w:hAnsi="Calibri" w:cs="Calibri"/>
                <w:color w:val="000000"/>
                <w:sz w:val="20"/>
                <w:szCs w:val="20"/>
              </w:rPr>
            </w:pPr>
            <w:r w:rsidRPr="006403DE">
              <w:rPr>
                <w:rFonts w:ascii="Calibri" w:eastAsia="Times New Roman" w:hAnsi="Calibri" w:cs="Calibri"/>
                <w:color w:val="000000"/>
                <w:sz w:val="20"/>
                <w:szCs w:val="20"/>
              </w:rPr>
              <w:t>-0.071***</w:t>
            </w:r>
          </w:p>
        </w:tc>
        <w:tc>
          <w:tcPr>
            <w:tcW w:w="828" w:type="dxa"/>
            <w:tcBorders>
              <w:top w:val="nil"/>
              <w:left w:val="nil"/>
              <w:bottom w:val="nil"/>
              <w:right w:val="nil"/>
            </w:tcBorders>
            <w:noWrap/>
            <w:vAlign w:val="bottom"/>
            <w:hideMark/>
          </w:tcPr>
          <w:p w14:paraId="05FA9540" w14:textId="77777777" w:rsidR="006403DE" w:rsidRPr="006403DE" w:rsidRDefault="006403DE" w:rsidP="006403DE">
            <w:pPr>
              <w:spacing w:after="0" w:line="240" w:lineRule="auto"/>
              <w:jc w:val="right"/>
              <w:rPr>
                <w:rFonts w:ascii="Calibri" w:eastAsia="Times New Roman" w:hAnsi="Calibri" w:cs="Calibri"/>
                <w:color w:val="000000"/>
                <w:sz w:val="20"/>
                <w:szCs w:val="20"/>
              </w:rPr>
            </w:pPr>
            <w:r w:rsidRPr="006403DE">
              <w:rPr>
                <w:rFonts w:ascii="Calibri" w:eastAsia="Times New Roman" w:hAnsi="Calibri" w:cs="Calibri"/>
                <w:color w:val="000000"/>
                <w:sz w:val="20"/>
                <w:szCs w:val="20"/>
              </w:rPr>
              <w:t>-0.094</w:t>
            </w:r>
          </w:p>
        </w:tc>
        <w:tc>
          <w:tcPr>
            <w:tcW w:w="828" w:type="dxa"/>
            <w:tcBorders>
              <w:top w:val="nil"/>
              <w:left w:val="nil"/>
              <w:bottom w:val="nil"/>
              <w:right w:val="nil"/>
            </w:tcBorders>
            <w:noWrap/>
            <w:vAlign w:val="bottom"/>
            <w:hideMark/>
          </w:tcPr>
          <w:p w14:paraId="793C6B93" w14:textId="77777777" w:rsidR="006403DE" w:rsidRPr="006403DE" w:rsidRDefault="006403DE" w:rsidP="006403DE">
            <w:pPr>
              <w:spacing w:after="0" w:line="240" w:lineRule="auto"/>
              <w:jc w:val="right"/>
              <w:rPr>
                <w:rFonts w:ascii="Calibri" w:eastAsia="Times New Roman" w:hAnsi="Calibri" w:cs="Calibri"/>
                <w:color w:val="000000"/>
                <w:sz w:val="20"/>
                <w:szCs w:val="20"/>
              </w:rPr>
            </w:pPr>
            <w:r w:rsidRPr="006403DE">
              <w:rPr>
                <w:rFonts w:ascii="Calibri" w:eastAsia="Times New Roman" w:hAnsi="Calibri" w:cs="Calibri"/>
                <w:color w:val="000000"/>
                <w:sz w:val="20"/>
                <w:szCs w:val="20"/>
              </w:rPr>
              <w:t>-0.049</w:t>
            </w:r>
          </w:p>
        </w:tc>
      </w:tr>
      <w:tr w:rsidR="006403DE" w:rsidRPr="006403DE" w14:paraId="02040FD2" w14:textId="77777777" w:rsidTr="006403DE">
        <w:trPr>
          <w:trHeight w:val="300"/>
          <w:jc w:val="center"/>
        </w:trPr>
        <w:tc>
          <w:tcPr>
            <w:tcW w:w="360" w:type="dxa"/>
            <w:tcBorders>
              <w:top w:val="nil"/>
              <w:left w:val="nil"/>
              <w:bottom w:val="nil"/>
              <w:right w:val="nil"/>
            </w:tcBorders>
            <w:noWrap/>
            <w:vAlign w:val="bottom"/>
            <w:hideMark/>
          </w:tcPr>
          <w:p w14:paraId="4706A022" w14:textId="77777777" w:rsidR="006403DE" w:rsidRPr="006403DE" w:rsidRDefault="006403DE" w:rsidP="006403DE">
            <w:pPr>
              <w:spacing w:after="0" w:line="240" w:lineRule="auto"/>
              <w:jc w:val="right"/>
              <w:rPr>
                <w:rFonts w:ascii="Calibri" w:eastAsia="Times New Roman" w:hAnsi="Calibri" w:cs="Calibri"/>
                <w:color w:val="000000"/>
                <w:sz w:val="20"/>
                <w:szCs w:val="20"/>
              </w:rPr>
            </w:pPr>
          </w:p>
        </w:tc>
        <w:tc>
          <w:tcPr>
            <w:tcW w:w="3962" w:type="dxa"/>
            <w:gridSpan w:val="2"/>
            <w:tcBorders>
              <w:top w:val="nil"/>
              <w:left w:val="nil"/>
              <w:bottom w:val="nil"/>
              <w:right w:val="nil"/>
            </w:tcBorders>
            <w:noWrap/>
            <w:vAlign w:val="bottom"/>
            <w:hideMark/>
          </w:tcPr>
          <w:p w14:paraId="643A05D3" w14:textId="77777777" w:rsidR="006403DE" w:rsidRPr="006403DE" w:rsidRDefault="006403DE" w:rsidP="006403DE">
            <w:pPr>
              <w:spacing w:after="0" w:line="240" w:lineRule="auto"/>
              <w:jc w:val="left"/>
              <w:rPr>
                <w:rFonts w:ascii="Calibri" w:eastAsia="Times New Roman" w:hAnsi="Calibri" w:cs="Calibri"/>
                <w:color w:val="000000"/>
                <w:sz w:val="20"/>
                <w:szCs w:val="20"/>
              </w:rPr>
            </w:pPr>
            <w:r w:rsidRPr="006403DE">
              <w:rPr>
                <w:rFonts w:ascii="Calibri" w:eastAsia="Times New Roman" w:hAnsi="Calibri" w:cs="Calibri"/>
                <w:color w:val="000000"/>
                <w:sz w:val="20"/>
                <w:szCs w:val="20"/>
              </w:rPr>
              <w:t>Couple with individuals under 25</w:t>
            </w:r>
          </w:p>
        </w:tc>
        <w:tc>
          <w:tcPr>
            <w:tcW w:w="1724" w:type="dxa"/>
            <w:tcBorders>
              <w:top w:val="nil"/>
              <w:left w:val="nil"/>
              <w:bottom w:val="nil"/>
              <w:right w:val="nil"/>
            </w:tcBorders>
            <w:noWrap/>
            <w:vAlign w:val="bottom"/>
            <w:hideMark/>
          </w:tcPr>
          <w:p w14:paraId="20FE68D0" w14:textId="77777777" w:rsidR="006403DE" w:rsidRPr="006403DE" w:rsidRDefault="006403DE" w:rsidP="006403DE">
            <w:pPr>
              <w:spacing w:after="0" w:line="240" w:lineRule="auto"/>
              <w:jc w:val="left"/>
              <w:rPr>
                <w:rFonts w:ascii="Calibri" w:eastAsia="Times New Roman" w:hAnsi="Calibri" w:cs="Calibri"/>
                <w:color w:val="000000"/>
                <w:sz w:val="20"/>
                <w:szCs w:val="20"/>
              </w:rPr>
            </w:pPr>
            <w:r w:rsidRPr="006403DE">
              <w:rPr>
                <w:rFonts w:ascii="Calibri" w:eastAsia="Times New Roman" w:hAnsi="Calibri" w:cs="Calibri"/>
                <w:color w:val="000000"/>
                <w:sz w:val="20"/>
                <w:szCs w:val="20"/>
              </w:rPr>
              <w:t>-0.112***</w:t>
            </w:r>
          </w:p>
        </w:tc>
        <w:tc>
          <w:tcPr>
            <w:tcW w:w="828" w:type="dxa"/>
            <w:tcBorders>
              <w:top w:val="nil"/>
              <w:left w:val="nil"/>
              <w:bottom w:val="nil"/>
              <w:right w:val="nil"/>
            </w:tcBorders>
            <w:noWrap/>
            <w:vAlign w:val="bottom"/>
            <w:hideMark/>
          </w:tcPr>
          <w:p w14:paraId="5B07C263" w14:textId="77777777" w:rsidR="006403DE" w:rsidRPr="006403DE" w:rsidRDefault="006403DE" w:rsidP="006403DE">
            <w:pPr>
              <w:spacing w:after="0" w:line="240" w:lineRule="auto"/>
              <w:jc w:val="right"/>
              <w:rPr>
                <w:rFonts w:ascii="Calibri" w:eastAsia="Times New Roman" w:hAnsi="Calibri" w:cs="Calibri"/>
                <w:color w:val="000000"/>
                <w:sz w:val="20"/>
                <w:szCs w:val="20"/>
              </w:rPr>
            </w:pPr>
            <w:r w:rsidRPr="006403DE">
              <w:rPr>
                <w:rFonts w:ascii="Calibri" w:eastAsia="Times New Roman" w:hAnsi="Calibri" w:cs="Calibri"/>
                <w:color w:val="000000"/>
                <w:sz w:val="20"/>
                <w:szCs w:val="20"/>
              </w:rPr>
              <w:t>-0.134</w:t>
            </w:r>
          </w:p>
        </w:tc>
        <w:tc>
          <w:tcPr>
            <w:tcW w:w="828" w:type="dxa"/>
            <w:tcBorders>
              <w:top w:val="nil"/>
              <w:left w:val="nil"/>
              <w:bottom w:val="nil"/>
              <w:right w:val="nil"/>
            </w:tcBorders>
            <w:noWrap/>
            <w:vAlign w:val="bottom"/>
            <w:hideMark/>
          </w:tcPr>
          <w:p w14:paraId="53B92D1A" w14:textId="77777777" w:rsidR="006403DE" w:rsidRPr="006403DE" w:rsidRDefault="006403DE" w:rsidP="006403DE">
            <w:pPr>
              <w:spacing w:after="0" w:line="240" w:lineRule="auto"/>
              <w:jc w:val="right"/>
              <w:rPr>
                <w:rFonts w:ascii="Calibri" w:eastAsia="Times New Roman" w:hAnsi="Calibri" w:cs="Calibri"/>
                <w:color w:val="000000"/>
                <w:sz w:val="20"/>
                <w:szCs w:val="20"/>
              </w:rPr>
            </w:pPr>
            <w:r w:rsidRPr="006403DE">
              <w:rPr>
                <w:rFonts w:ascii="Calibri" w:eastAsia="Times New Roman" w:hAnsi="Calibri" w:cs="Calibri"/>
                <w:color w:val="000000"/>
                <w:sz w:val="20"/>
                <w:szCs w:val="20"/>
              </w:rPr>
              <w:t>-0.091</w:t>
            </w:r>
          </w:p>
        </w:tc>
      </w:tr>
      <w:tr w:rsidR="006403DE" w:rsidRPr="006403DE" w14:paraId="1F896460" w14:textId="77777777" w:rsidTr="006403DE">
        <w:trPr>
          <w:trHeight w:val="300"/>
          <w:jc w:val="center"/>
        </w:trPr>
        <w:tc>
          <w:tcPr>
            <w:tcW w:w="360" w:type="dxa"/>
            <w:tcBorders>
              <w:top w:val="nil"/>
              <w:left w:val="nil"/>
              <w:bottom w:val="nil"/>
              <w:right w:val="nil"/>
            </w:tcBorders>
            <w:noWrap/>
            <w:vAlign w:val="bottom"/>
            <w:hideMark/>
          </w:tcPr>
          <w:p w14:paraId="70DFA8CD" w14:textId="77777777" w:rsidR="006403DE" w:rsidRPr="006403DE" w:rsidRDefault="006403DE" w:rsidP="006403DE">
            <w:pPr>
              <w:spacing w:after="0" w:line="240" w:lineRule="auto"/>
              <w:jc w:val="right"/>
              <w:rPr>
                <w:rFonts w:ascii="Calibri" w:eastAsia="Times New Roman" w:hAnsi="Calibri" w:cs="Calibri"/>
                <w:color w:val="000000"/>
                <w:sz w:val="20"/>
                <w:szCs w:val="20"/>
              </w:rPr>
            </w:pPr>
          </w:p>
        </w:tc>
        <w:tc>
          <w:tcPr>
            <w:tcW w:w="3962" w:type="dxa"/>
            <w:gridSpan w:val="2"/>
            <w:tcBorders>
              <w:top w:val="nil"/>
              <w:left w:val="nil"/>
              <w:bottom w:val="nil"/>
              <w:right w:val="nil"/>
            </w:tcBorders>
            <w:noWrap/>
            <w:vAlign w:val="bottom"/>
            <w:hideMark/>
          </w:tcPr>
          <w:p w14:paraId="4F5BC58C" w14:textId="77777777" w:rsidR="006403DE" w:rsidRPr="006403DE" w:rsidRDefault="006403DE" w:rsidP="006403DE">
            <w:pPr>
              <w:spacing w:after="0" w:line="240" w:lineRule="auto"/>
              <w:jc w:val="left"/>
              <w:rPr>
                <w:rFonts w:ascii="Calibri" w:eastAsia="Times New Roman" w:hAnsi="Calibri" w:cs="Calibri"/>
                <w:color w:val="000000"/>
                <w:sz w:val="20"/>
                <w:szCs w:val="20"/>
              </w:rPr>
            </w:pPr>
            <w:proofErr w:type="gramStart"/>
            <w:r w:rsidRPr="006403DE">
              <w:rPr>
                <w:rFonts w:ascii="Calibri" w:eastAsia="Times New Roman" w:hAnsi="Calibri" w:cs="Calibri"/>
                <w:color w:val="000000"/>
                <w:sz w:val="20"/>
                <w:szCs w:val="20"/>
              </w:rPr>
              <w:t>Single-woman</w:t>
            </w:r>
            <w:proofErr w:type="gramEnd"/>
            <w:r w:rsidRPr="006403DE">
              <w:rPr>
                <w:rFonts w:ascii="Calibri" w:eastAsia="Times New Roman" w:hAnsi="Calibri" w:cs="Calibri"/>
                <w:color w:val="000000"/>
                <w:sz w:val="20"/>
                <w:szCs w:val="20"/>
              </w:rPr>
              <w:t xml:space="preserve"> with individuals under 25</w:t>
            </w:r>
          </w:p>
        </w:tc>
        <w:tc>
          <w:tcPr>
            <w:tcW w:w="1724" w:type="dxa"/>
            <w:tcBorders>
              <w:top w:val="nil"/>
              <w:left w:val="nil"/>
              <w:bottom w:val="nil"/>
              <w:right w:val="nil"/>
            </w:tcBorders>
            <w:noWrap/>
            <w:vAlign w:val="bottom"/>
            <w:hideMark/>
          </w:tcPr>
          <w:p w14:paraId="0EB66D32" w14:textId="77777777" w:rsidR="006403DE" w:rsidRPr="006403DE" w:rsidRDefault="006403DE" w:rsidP="006403DE">
            <w:pPr>
              <w:spacing w:after="0" w:line="240" w:lineRule="auto"/>
              <w:jc w:val="left"/>
              <w:rPr>
                <w:rFonts w:ascii="Calibri" w:eastAsia="Times New Roman" w:hAnsi="Calibri" w:cs="Calibri"/>
                <w:color w:val="000000"/>
                <w:sz w:val="20"/>
                <w:szCs w:val="20"/>
              </w:rPr>
            </w:pPr>
            <w:r w:rsidRPr="006403DE">
              <w:rPr>
                <w:rFonts w:ascii="Calibri" w:eastAsia="Times New Roman" w:hAnsi="Calibri" w:cs="Calibri"/>
                <w:color w:val="000000"/>
                <w:sz w:val="20"/>
                <w:szCs w:val="20"/>
              </w:rPr>
              <w:t>Not significant</w:t>
            </w:r>
          </w:p>
        </w:tc>
        <w:tc>
          <w:tcPr>
            <w:tcW w:w="828" w:type="dxa"/>
            <w:tcBorders>
              <w:top w:val="nil"/>
              <w:left w:val="nil"/>
              <w:bottom w:val="nil"/>
              <w:right w:val="nil"/>
            </w:tcBorders>
            <w:noWrap/>
            <w:vAlign w:val="bottom"/>
            <w:hideMark/>
          </w:tcPr>
          <w:p w14:paraId="0787C8C5" w14:textId="77777777" w:rsidR="006403DE" w:rsidRPr="006403DE" w:rsidRDefault="006403DE" w:rsidP="006403DE">
            <w:pPr>
              <w:spacing w:after="0" w:line="240" w:lineRule="auto"/>
              <w:jc w:val="right"/>
              <w:rPr>
                <w:rFonts w:ascii="Calibri" w:eastAsia="Times New Roman" w:hAnsi="Calibri" w:cs="Calibri"/>
                <w:color w:val="000000"/>
                <w:sz w:val="20"/>
                <w:szCs w:val="20"/>
              </w:rPr>
            </w:pPr>
            <w:r w:rsidRPr="006403DE">
              <w:rPr>
                <w:rFonts w:ascii="Calibri" w:eastAsia="Times New Roman" w:hAnsi="Calibri" w:cs="Calibri"/>
                <w:color w:val="000000"/>
                <w:sz w:val="20"/>
                <w:szCs w:val="20"/>
              </w:rPr>
              <w:t>-0.029</w:t>
            </w:r>
          </w:p>
        </w:tc>
        <w:tc>
          <w:tcPr>
            <w:tcW w:w="828" w:type="dxa"/>
            <w:tcBorders>
              <w:top w:val="nil"/>
              <w:left w:val="nil"/>
              <w:bottom w:val="nil"/>
              <w:right w:val="nil"/>
            </w:tcBorders>
            <w:noWrap/>
            <w:vAlign w:val="bottom"/>
            <w:hideMark/>
          </w:tcPr>
          <w:p w14:paraId="7F2DEA7B" w14:textId="77777777" w:rsidR="006403DE" w:rsidRPr="006403DE" w:rsidRDefault="006403DE" w:rsidP="006403DE">
            <w:pPr>
              <w:spacing w:after="0" w:line="240" w:lineRule="auto"/>
              <w:jc w:val="right"/>
              <w:rPr>
                <w:rFonts w:ascii="Calibri" w:eastAsia="Times New Roman" w:hAnsi="Calibri" w:cs="Calibri"/>
                <w:color w:val="000000"/>
                <w:sz w:val="20"/>
                <w:szCs w:val="20"/>
              </w:rPr>
            </w:pPr>
            <w:r w:rsidRPr="006403DE">
              <w:rPr>
                <w:rFonts w:ascii="Calibri" w:eastAsia="Times New Roman" w:hAnsi="Calibri" w:cs="Calibri"/>
                <w:color w:val="000000"/>
                <w:sz w:val="20"/>
                <w:szCs w:val="20"/>
              </w:rPr>
              <w:t>0.016</w:t>
            </w:r>
          </w:p>
        </w:tc>
      </w:tr>
      <w:tr w:rsidR="006403DE" w:rsidRPr="006403DE" w14:paraId="3C945D9B" w14:textId="77777777" w:rsidTr="006403DE">
        <w:trPr>
          <w:trHeight w:val="300"/>
          <w:jc w:val="center"/>
        </w:trPr>
        <w:tc>
          <w:tcPr>
            <w:tcW w:w="360" w:type="dxa"/>
            <w:tcBorders>
              <w:top w:val="nil"/>
              <w:left w:val="nil"/>
              <w:bottom w:val="nil"/>
              <w:right w:val="nil"/>
            </w:tcBorders>
            <w:noWrap/>
            <w:vAlign w:val="bottom"/>
            <w:hideMark/>
          </w:tcPr>
          <w:p w14:paraId="74DC7BBB" w14:textId="77777777" w:rsidR="006403DE" w:rsidRPr="006403DE" w:rsidRDefault="006403DE" w:rsidP="006403DE">
            <w:pPr>
              <w:spacing w:after="0" w:line="240" w:lineRule="auto"/>
              <w:jc w:val="right"/>
              <w:rPr>
                <w:rFonts w:ascii="Calibri" w:eastAsia="Times New Roman" w:hAnsi="Calibri" w:cs="Calibri"/>
                <w:color w:val="000000"/>
                <w:sz w:val="20"/>
                <w:szCs w:val="20"/>
              </w:rPr>
            </w:pPr>
          </w:p>
        </w:tc>
        <w:tc>
          <w:tcPr>
            <w:tcW w:w="3700" w:type="dxa"/>
            <w:tcBorders>
              <w:top w:val="nil"/>
              <w:left w:val="nil"/>
              <w:bottom w:val="nil"/>
              <w:right w:val="nil"/>
            </w:tcBorders>
            <w:noWrap/>
            <w:vAlign w:val="bottom"/>
            <w:hideMark/>
          </w:tcPr>
          <w:p w14:paraId="4983B25D" w14:textId="77777777" w:rsidR="006403DE" w:rsidRPr="006403DE" w:rsidRDefault="006403DE" w:rsidP="006403DE">
            <w:pPr>
              <w:spacing w:after="0" w:line="240" w:lineRule="auto"/>
              <w:jc w:val="left"/>
              <w:rPr>
                <w:rFonts w:ascii="Calibri" w:eastAsia="Times New Roman" w:hAnsi="Calibri" w:cs="Calibri"/>
                <w:color w:val="000000"/>
                <w:sz w:val="20"/>
                <w:szCs w:val="20"/>
              </w:rPr>
            </w:pPr>
            <w:r w:rsidRPr="006403DE">
              <w:rPr>
                <w:rFonts w:ascii="Calibri" w:eastAsia="Times New Roman" w:hAnsi="Calibri" w:cs="Calibri"/>
                <w:color w:val="000000"/>
                <w:sz w:val="20"/>
                <w:szCs w:val="20"/>
              </w:rPr>
              <w:t>Extended</w:t>
            </w:r>
          </w:p>
        </w:tc>
        <w:tc>
          <w:tcPr>
            <w:tcW w:w="262" w:type="dxa"/>
            <w:tcBorders>
              <w:top w:val="nil"/>
              <w:left w:val="nil"/>
              <w:bottom w:val="nil"/>
              <w:right w:val="nil"/>
            </w:tcBorders>
            <w:noWrap/>
            <w:vAlign w:val="bottom"/>
            <w:hideMark/>
          </w:tcPr>
          <w:p w14:paraId="5C5E7652" w14:textId="77777777" w:rsidR="006403DE" w:rsidRPr="006403DE" w:rsidRDefault="006403DE" w:rsidP="006403DE">
            <w:pPr>
              <w:spacing w:after="0" w:line="240" w:lineRule="auto"/>
              <w:jc w:val="left"/>
              <w:rPr>
                <w:rFonts w:ascii="Calibri" w:eastAsia="Times New Roman" w:hAnsi="Calibri" w:cs="Calibri"/>
                <w:color w:val="000000"/>
                <w:sz w:val="20"/>
                <w:szCs w:val="20"/>
              </w:rPr>
            </w:pPr>
          </w:p>
        </w:tc>
        <w:tc>
          <w:tcPr>
            <w:tcW w:w="1724" w:type="dxa"/>
            <w:tcBorders>
              <w:top w:val="nil"/>
              <w:left w:val="nil"/>
              <w:bottom w:val="nil"/>
              <w:right w:val="nil"/>
            </w:tcBorders>
            <w:noWrap/>
            <w:vAlign w:val="bottom"/>
            <w:hideMark/>
          </w:tcPr>
          <w:p w14:paraId="2EEE0E24" w14:textId="77777777" w:rsidR="006403DE" w:rsidRPr="006403DE" w:rsidRDefault="006403DE" w:rsidP="006403DE">
            <w:pPr>
              <w:spacing w:after="0" w:line="240" w:lineRule="auto"/>
              <w:jc w:val="left"/>
              <w:rPr>
                <w:rFonts w:ascii="Calibri" w:eastAsia="Times New Roman" w:hAnsi="Calibri" w:cs="Calibri"/>
                <w:color w:val="000000"/>
                <w:sz w:val="20"/>
                <w:szCs w:val="20"/>
              </w:rPr>
            </w:pPr>
            <w:r w:rsidRPr="006403DE">
              <w:rPr>
                <w:rFonts w:ascii="Calibri" w:eastAsia="Times New Roman" w:hAnsi="Calibri" w:cs="Calibri"/>
                <w:color w:val="000000"/>
                <w:sz w:val="20"/>
                <w:szCs w:val="20"/>
              </w:rPr>
              <w:t>-0.098***</w:t>
            </w:r>
          </w:p>
        </w:tc>
        <w:tc>
          <w:tcPr>
            <w:tcW w:w="828" w:type="dxa"/>
            <w:tcBorders>
              <w:top w:val="nil"/>
              <w:left w:val="nil"/>
              <w:bottom w:val="nil"/>
              <w:right w:val="nil"/>
            </w:tcBorders>
            <w:noWrap/>
            <w:vAlign w:val="bottom"/>
            <w:hideMark/>
          </w:tcPr>
          <w:p w14:paraId="7DA1598F" w14:textId="77777777" w:rsidR="006403DE" w:rsidRPr="006403DE" w:rsidRDefault="006403DE" w:rsidP="006403DE">
            <w:pPr>
              <w:spacing w:after="0" w:line="240" w:lineRule="auto"/>
              <w:jc w:val="right"/>
              <w:rPr>
                <w:rFonts w:ascii="Calibri" w:eastAsia="Times New Roman" w:hAnsi="Calibri" w:cs="Calibri"/>
                <w:color w:val="000000"/>
                <w:sz w:val="20"/>
                <w:szCs w:val="20"/>
              </w:rPr>
            </w:pPr>
            <w:r w:rsidRPr="006403DE">
              <w:rPr>
                <w:rFonts w:ascii="Calibri" w:eastAsia="Times New Roman" w:hAnsi="Calibri" w:cs="Calibri"/>
                <w:color w:val="000000"/>
                <w:sz w:val="20"/>
                <w:szCs w:val="20"/>
              </w:rPr>
              <w:t>-0.119</w:t>
            </w:r>
          </w:p>
        </w:tc>
        <w:tc>
          <w:tcPr>
            <w:tcW w:w="828" w:type="dxa"/>
            <w:tcBorders>
              <w:top w:val="nil"/>
              <w:left w:val="nil"/>
              <w:bottom w:val="nil"/>
              <w:right w:val="nil"/>
            </w:tcBorders>
            <w:noWrap/>
            <w:vAlign w:val="bottom"/>
            <w:hideMark/>
          </w:tcPr>
          <w:p w14:paraId="31F5C507" w14:textId="77777777" w:rsidR="006403DE" w:rsidRPr="006403DE" w:rsidRDefault="006403DE" w:rsidP="006403DE">
            <w:pPr>
              <w:spacing w:after="0" w:line="240" w:lineRule="auto"/>
              <w:jc w:val="right"/>
              <w:rPr>
                <w:rFonts w:ascii="Calibri" w:eastAsia="Times New Roman" w:hAnsi="Calibri" w:cs="Calibri"/>
                <w:color w:val="000000"/>
                <w:sz w:val="20"/>
                <w:szCs w:val="20"/>
              </w:rPr>
            </w:pPr>
            <w:r w:rsidRPr="006403DE">
              <w:rPr>
                <w:rFonts w:ascii="Calibri" w:eastAsia="Times New Roman" w:hAnsi="Calibri" w:cs="Calibri"/>
                <w:color w:val="000000"/>
                <w:sz w:val="20"/>
                <w:szCs w:val="20"/>
              </w:rPr>
              <w:t>-0.076</w:t>
            </w:r>
          </w:p>
        </w:tc>
      </w:tr>
      <w:tr w:rsidR="006403DE" w:rsidRPr="006403DE" w14:paraId="715A1BAE" w14:textId="77777777" w:rsidTr="006403DE">
        <w:trPr>
          <w:trHeight w:val="300"/>
          <w:jc w:val="center"/>
        </w:trPr>
        <w:tc>
          <w:tcPr>
            <w:tcW w:w="4060" w:type="dxa"/>
            <w:gridSpan w:val="2"/>
            <w:tcBorders>
              <w:top w:val="nil"/>
              <w:left w:val="nil"/>
              <w:bottom w:val="nil"/>
              <w:right w:val="nil"/>
            </w:tcBorders>
            <w:noWrap/>
            <w:vAlign w:val="bottom"/>
            <w:hideMark/>
          </w:tcPr>
          <w:p w14:paraId="22D7E8C3" w14:textId="77777777" w:rsidR="006403DE" w:rsidRPr="006403DE" w:rsidRDefault="006403DE" w:rsidP="006403DE">
            <w:pPr>
              <w:spacing w:after="0" w:line="240" w:lineRule="auto"/>
              <w:jc w:val="left"/>
              <w:rPr>
                <w:rFonts w:ascii="Calibri" w:eastAsia="Times New Roman" w:hAnsi="Calibri" w:cs="Calibri"/>
                <w:color w:val="000000"/>
                <w:sz w:val="20"/>
                <w:szCs w:val="20"/>
              </w:rPr>
            </w:pPr>
            <w:r w:rsidRPr="006403DE">
              <w:rPr>
                <w:rFonts w:ascii="Calibri" w:eastAsia="Times New Roman" w:hAnsi="Calibri" w:cs="Calibri"/>
                <w:color w:val="000000"/>
                <w:sz w:val="20"/>
                <w:szCs w:val="20"/>
              </w:rPr>
              <w:t>At least one child under 4 in household</w:t>
            </w:r>
          </w:p>
        </w:tc>
        <w:tc>
          <w:tcPr>
            <w:tcW w:w="262" w:type="dxa"/>
            <w:tcBorders>
              <w:top w:val="nil"/>
              <w:left w:val="nil"/>
              <w:bottom w:val="nil"/>
              <w:right w:val="nil"/>
            </w:tcBorders>
            <w:noWrap/>
            <w:vAlign w:val="bottom"/>
            <w:hideMark/>
          </w:tcPr>
          <w:p w14:paraId="5009586E" w14:textId="77777777" w:rsidR="006403DE" w:rsidRPr="006403DE" w:rsidRDefault="006403DE" w:rsidP="006403DE">
            <w:pPr>
              <w:spacing w:after="0" w:line="240" w:lineRule="auto"/>
              <w:jc w:val="left"/>
              <w:rPr>
                <w:rFonts w:ascii="Calibri" w:eastAsia="Times New Roman" w:hAnsi="Calibri" w:cs="Calibri"/>
                <w:color w:val="000000"/>
                <w:sz w:val="20"/>
                <w:szCs w:val="20"/>
              </w:rPr>
            </w:pPr>
          </w:p>
        </w:tc>
        <w:tc>
          <w:tcPr>
            <w:tcW w:w="1724" w:type="dxa"/>
            <w:tcBorders>
              <w:top w:val="nil"/>
              <w:left w:val="nil"/>
              <w:bottom w:val="nil"/>
              <w:right w:val="nil"/>
            </w:tcBorders>
            <w:noWrap/>
            <w:vAlign w:val="bottom"/>
            <w:hideMark/>
          </w:tcPr>
          <w:p w14:paraId="11925AC4" w14:textId="77777777" w:rsidR="006403DE" w:rsidRPr="006403DE" w:rsidRDefault="006403DE" w:rsidP="006403DE">
            <w:pPr>
              <w:spacing w:after="0" w:line="240" w:lineRule="auto"/>
              <w:jc w:val="left"/>
              <w:rPr>
                <w:rFonts w:ascii="Calibri" w:eastAsia="Times New Roman" w:hAnsi="Calibri" w:cs="Calibri"/>
                <w:color w:val="000000"/>
                <w:sz w:val="20"/>
                <w:szCs w:val="20"/>
              </w:rPr>
            </w:pPr>
            <w:r w:rsidRPr="006403DE">
              <w:rPr>
                <w:rFonts w:ascii="Calibri" w:eastAsia="Times New Roman" w:hAnsi="Calibri" w:cs="Calibri"/>
                <w:color w:val="000000"/>
                <w:sz w:val="20"/>
                <w:szCs w:val="20"/>
              </w:rPr>
              <w:t>-0.058***</w:t>
            </w:r>
          </w:p>
        </w:tc>
        <w:tc>
          <w:tcPr>
            <w:tcW w:w="828" w:type="dxa"/>
            <w:tcBorders>
              <w:top w:val="nil"/>
              <w:left w:val="nil"/>
              <w:bottom w:val="nil"/>
              <w:right w:val="nil"/>
            </w:tcBorders>
            <w:noWrap/>
            <w:vAlign w:val="bottom"/>
            <w:hideMark/>
          </w:tcPr>
          <w:p w14:paraId="36B0CCC6" w14:textId="77777777" w:rsidR="006403DE" w:rsidRPr="006403DE" w:rsidRDefault="006403DE" w:rsidP="006403DE">
            <w:pPr>
              <w:spacing w:after="0" w:line="240" w:lineRule="auto"/>
              <w:jc w:val="right"/>
              <w:rPr>
                <w:rFonts w:ascii="Calibri" w:eastAsia="Times New Roman" w:hAnsi="Calibri" w:cs="Calibri"/>
                <w:color w:val="000000"/>
                <w:sz w:val="20"/>
                <w:szCs w:val="20"/>
              </w:rPr>
            </w:pPr>
            <w:r w:rsidRPr="006403DE">
              <w:rPr>
                <w:rFonts w:ascii="Calibri" w:eastAsia="Times New Roman" w:hAnsi="Calibri" w:cs="Calibri"/>
                <w:color w:val="000000"/>
                <w:sz w:val="20"/>
                <w:szCs w:val="20"/>
              </w:rPr>
              <w:t>-0.073</w:t>
            </w:r>
          </w:p>
        </w:tc>
        <w:tc>
          <w:tcPr>
            <w:tcW w:w="828" w:type="dxa"/>
            <w:tcBorders>
              <w:top w:val="nil"/>
              <w:left w:val="nil"/>
              <w:bottom w:val="nil"/>
              <w:right w:val="nil"/>
            </w:tcBorders>
            <w:noWrap/>
            <w:vAlign w:val="bottom"/>
            <w:hideMark/>
          </w:tcPr>
          <w:p w14:paraId="37AC8AEB" w14:textId="77777777" w:rsidR="006403DE" w:rsidRPr="006403DE" w:rsidRDefault="006403DE" w:rsidP="006403DE">
            <w:pPr>
              <w:spacing w:after="0" w:line="240" w:lineRule="auto"/>
              <w:jc w:val="right"/>
              <w:rPr>
                <w:rFonts w:ascii="Calibri" w:eastAsia="Times New Roman" w:hAnsi="Calibri" w:cs="Calibri"/>
                <w:color w:val="000000"/>
                <w:sz w:val="20"/>
                <w:szCs w:val="20"/>
              </w:rPr>
            </w:pPr>
            <w:r w:rsidRPr="006403DE">
              <w:rPr>
                <w:rFonts w:ascii="Calibri" w:eastAsia="Times New Roman" w:hAnsi="Calibri" w:cs="Calibri"/>
                <w:color w:val="000000"/>
                <w:sz w:val="20"/>
                <w:szCs w:val="20"/>
              </w:rPr>
              <w:t>-0.043</w:t>
            </w:r>
          </w:p>
        </w:tc>
      </w:tr>
      <w:tr w:rsidR="006403DE" w:rsidRPr="006403DE" w14:paraId="0F650BCE" w14:textId="77777777" w:rsidTr="006403DE">
        <w:trPr>
          <w:trHeight w:val="300"/>
          <w:jc w:val="center"/>
        </w:trPr>
        <w:tc>
          <w:tcPr>
            <w:tcW w:w="4060" w:type="dxa"/>
            <w:gridSpan w:val="2"/>
            <w:tcBorders>
              <w:top w:val="nil"/>
              <w:left w:val="nil"/>
              <w:bottom w:val="nil"/>
              <w:right w:val="nil"/>
            </w:tcBorders>
            <w:noWrap/>
            <w:vAlign w:val="bottom"/>
            <w:hideMark/>
          </w:tcPr>
          <w:p w14:paraId="28E4D8E6" w14:textId="77777777" w:rsidR="006403DE" w:rsidRPr="006403DE" w:rsidRDefault="006403DE" w:rsidP="006403DE">
            <w:pPr>
              <w:spacing w:after="0" w:line="240" w:lineRule="auto"/>
              <w:jc w:val="left"/>
              <w:rPr>
                <w:rFonts w:ascii="Calibri" w:eastAsia="Times New Roman" w:hAnsi="Calibri" w:cs="Calibri"/>
                <w:color w:val="000000"/>
                <w:sz w:val="20"/>
                <w:szCs w:val="20"/>
              </w:rPr>
            </w:pPr>
            <w:r w:rsidRPr="006403DE">
              <w:rPr>
                <w:rFonts w:ascii="Calibri" w:eastAsia="Times New Roman" w:hAnsi="Calibri" w:cs="Calibri"/>
                <w:color w:val="000000"/>
                <w:sz w:val="20"/>
                <w:szCs w:val="20"/>
              </w:rPr>
              <w:t>Internet in household</w:t>
            </w:r>
          </w:p>
        </w:tc>
        <w:tc>
          <w:tcPr>
            <w:tcW w:w="262" w:type="dxa"/>
            <w:tcBorders>
              <w:top w:val="nil"/>
              <w:left w:val="nil"/>
              <w:bottom w:val="nil"/>
              <w:right w:val="nil"/>
            </w:tcBorders>
            <w:noWrap/>
            <w:vAlign w:val="bottom"/>
            <w:hideMark/>
          </w:tcPr>
          <w:p w14:paraId="6E61BE9A" w14:textId="77777777" w:rsidR="006403DE" w:rsidRPr="006403DE" w:rsidRDefault="006403DE" w:rsidP="006403DE">
            <w:pPr>
              <w:spacing w:after="0" w:line="240" w:lineRule="auto"/>
              <w:jc w:val="left"/>
              <w:rPr>
                <w:rFonts w:ascii="Calibri" w:eastAsia="Times New Roman" w:hAnsi="Calibri" w:cs="Calibri"/>
                <w:color w:val="000000"/>
                <w:sz w:val="20"/>
                <w:szCs w:val="20"/>
              </w:rPr>
            </w:pPr>
          </w:p>
        </w:tc>
        <w:tc>
          <w:tcPr>
            <w:tcW w:w="1724" w:type="dxa"/>
            <w:tcBorders>
              <w:top w:val="nil"/>
              <w:left w:val="nil"/>
              <w:bottom w:val="nil"/>
              <w:right w:val="nil"/>
            </w:tcBorders>
            <w:noWrap/>
            <w:vAlign w:val="bottom"/>
            <w:hideMark/>
          </w:tcPr>
          <w:p w14:paraId="36DA0BFD" w14:textId="77777777" w:rsidR="006403DE" w:rsidRPr="006403DE" w:rsidRDefault="006403DE" w:rsidP="006403DE">
            <w:pPr>
              <w:spacing w:after="0" w:line="240" w:lineRule="auto"/>
              <w:jc w:val="left"/>
              <w:rPr>
                <w:rFonts w:ascii="Calibri" w:eastAsia="Times New Roman" w:hAnsi="Calibri" w:cs="Calibri"/>
                <w:color w:val="000000"/>
                <w:sz w:val="20"/>
                <w:szCs w:val="20"/>
              </w:rPr>
            </w:pPr>
            <w:r w:rsidRPr="006403DE">
              <w:rPr>
                <w:rFonts w:ascii="Calibri" w:eastAsia="Times New Roman" w:hAnsi="Calibri" w:cs="Calibri"/>
                <w:color w:val="000000"/>
                <w:sz w:val="20"/>
                <w:szCs w:val="20"/>
              </w:rPr>
              <w:t>0.065***</w:t>
            </w:r>
          </w:p>
        </w:tc>
        <w:tc>
          <w:tcPr>
            <w:tcW w:w="828" w:type="dxa"/>
            <w:tcBorders>
              <w:top w:val="nil"/>
              <w:left w:val="nil"/>
              <w:bottom w:val="nil"/>
              <w:right w:val="nil"/>
            </w:tcBorders>
            <w:noWrap/>
            <w:vAlign w:val="bottom"/>
            <w:hideMark/>
          </w:tcPr>
          <w:p w14:paraId="660AAE11" w14:textId="77777777" w:rsidR="006403DE" w:rsidRPr="006403DE" w:rsidRDefault="006403DE" w:rsidP="006403DE">
            <w:pPr>
              <w:spacing w:after="0" w:line="240" w:lineRule="auto"/>
              <w:jc w:val="right"/>
              <w:rPr>
                <w:rFonts w:ascii="Calibri" w:eastAsia="Times New Roman" w:hAnsi="Calibri" w:cs="Calibri"/>
                <w:color w:val="000000"/>
                <w:sz w:val="20"/>
                <w:szCs w:val="20"/>
              </w:rPr>
            </w:pPr>
            <w:r w:rsidRPr="006403DE">
              <w:rPr>
                <w:rFonts w:ascii="Calibri" w:eastAsia="Times New Roman" w:hAnsi="Calibri" w:cs="Calibri"/>
                <w:color w:val="000000"/>
                <w:sz w:val="20"/>
                <w:szCs w:val="20"/>
              </w:rPr>
              <w:t>0.054</w:t>
            </w:r>
          </w:p>
        </w:tc>
        <w:tc>
          <w:tcPr>
            <w:tcW w:w="828" w:type="dxa"/>
            <w:tcBorders>
              <w:top w:val="nil"/>
              <w:left w:val="nil"/>
              <w:bottom w:val="nil"/>
              <w:right w:val="nil"/>
            </w:tcBorders>
            <w:noWrap/>
            <w:vAlign w:val="bottom"/>
            <w:hideMark/>
          </w:tcPr>
          <w:p w14:paraId="42C4B51E" w14:textId="77777777" w:rsidR="006403DE" w:rsidRPr="006403DE" w:rsidRDefault="006403DE" w:rsidP="006403DE">
            <w:pPr>
              <w:spacing w:after="0" w:line="240" w:lineRule="auto"/>
              <w:jc w:val="right"/>
              <w:rPr>
                <w:rFonts w:ascii="Calibri" w:eastAsia="Times New Roman" w:hAnsi="Calibri" w:cs="Calibri"/>
                <w:color w:val="000000"/>
                <w:sz w:val="20"/>
                <w:szCs w:val="20"/>
              </w:rPr>
            </w:pPr>
            <w:r w:rsidRPr="006403DE">
              <w:rPr>
                <w:rFonts w:ascii="Calibri" w:eastAsia="Times New Roman" w:hAnsi="Calibri" w:cs="Calibri"/>
                <w:color w:val="000000"/>
                <w:sz w:val="20"/>
                <w:szCs w:val="20"/>
              </w:rPr>
              <w:t>0.077</w:t>
            </w:r>
          </w:p>
        </w:tc>
      </w:tr>
      <w:tr w:rsidR="006403DE" w:rsidRPr="006403DE" w14:paraId="6A48F936" w14:textId="77777777" w:rsidTr="006403DE">
        <w:trPr>
          <w:trHeight w:val="300"/>
          <w:jc w:val="center"/>
        </w:trPr>
        <w:tc>
          <w:tcPr>
            <w:tcW w:w="360" w:type="dxa"/>
            <w:tcBorders>
              <w:top w:val="nil"/>
              <w:left w:val="nil"/>
              <w:bottom w:val="nil"/>
              <w:right w:val="nil"/>
            </w:tcBorders>
            <w:noWrap/>
            <w:vAlign w:val="bottom"/>
            <w:hideMark/>
          </w:tcPr>
          <w:p w14:paraId="32829163" w14:textId="77777777" w:rsidR="006403DE" w:rsidRPr="006403DE" w:rsidRDefault="006403DE" w:rsidP="006403DE">
            <w:pPr>
              <w:spacing w:after="0" w:line="240" w:lineRule="auto"/>
              <w:jc w:val="right"/>
              <w:rPr>
                <w:rFonts w:ascii="Calibri" w:eastAsia="Times New Roman" w:hAnsi="Calibri" w:cs="Calibri"/>
                <w:color w:val="000000"/>
                <w:sz w:val="20"/>
                <w:szCs w:val="20"/>
              </w:rPr>
            </w:pPr>
          </w:p>
        </w:tc>
        <w:tc>
          <w:tcPr>
            <w:tcW w:w="3700" w:type="dxa"/>
            <w:tcBorders>
              <w:top w:val="nil"/>
              <w:left w:val="nil"/>
              <w:bottom w:val="nil"/>
              <w:right w:val="nil"/>
            </w:tcBorders>
            <w:noWrap/>
            <w:vAlign w:val="bottom"/>
            <w:hideMark/>
          </w:tcPr>
          <w:p w14:paraId="56105B9B" w14:textId="77777777" w:rsidR="006403DE" w:rsidRPr="006403DE" w:rsidRDefault="006403DE" w:rsidP="006403DE">
            <w:pPr>
              <w:spacing w:after="0" w:line="240" w:lineRule="auto"/>
              <w:jc w:val="left"/>
              <w:rPr>
                <w:rFonts w:ascii="Times New Roman" w:eastAsia="Times New Roman" w:hAnsi="Times New Roman" w:cs="Times New Roman"/>
                <w:sz w:val="20"/>
                <w:szCs w:val="20"/>
              </w:rPr>
            </w:pPr>
          </w:p>
        </w:tc>
        <w:tc>
          <w:tcPr>
            <w:tcW w:w="262" w:type="dxa"/>
            <w:tcBorders>
              <w:top w:val="nil"/>
              <w:left w:val="nil"/>
              <w:bottom w:val="nil"/>
              <w:right w:val="nil"/>
            </w:tcBorders>
            <w:noWrap/>
            <w:vAlign w:val="bottom"/>
            <w:hideMark/>
          </w:tcPr>
          <w:p w14:paraId="4C971E94" w14:textId="77777777" w:rsidR="006403DE" w:rsidRPr="006403DE" w:rsidRDefault="006403DE" w:rsidP="006403DE">
            <w:pPr>
              <w:spacing w:after="0" w:line="240" w:lineRule="auto"/>
              <w:jc w:val="left"/>
              <w:rPr>
                <w:rFonts w:ascii="Times New Roman" w:eastAsia="Times New Roman" w:hAnsi="Times New Roman" w:cs="Times New Roman"/>
                <w:sz w:val="20"/>
                <w:szCs w:val="20"/>
              </w:rPr>
            </w:pPr>
          </w:p>
        </w:tc>
        <w:tc>
          <w:tcPr>
            <w:tcW w:w="1724" w:type="dxa"/>
            <w:tcBorders>
              <w:top w:val="nil"/>
              <w:left w:val="nil"/>
              <w:bottom w:val="nil"/>
              <w:right w:val="nil"/>
            </w:tcBorders>
            <w:noWrap/>
            <w:vAlign w:val="bottom"/>
            <w:hideMark/>
          </w:tcPr>
          <w:p w14:paraId="5C7CE25D" w14:textId="77777777" w:rsidR="006403DE" w:rsidRPr="006403DE" w:rsidRDefault="006403DE" w:rsidP="006403DE">
            <w:pPr>
              <w:spacing w:after="0" w:line="240" w:lineRule="auto"/>
              <w:jc w:val="left"/>
              <w:rPr>
                <w:rFonts w:ascii="Times New Roman" w:eastAsia="Times New Roman" w:hAnsi="Times New Roman" w:cs="Times New Roman"/>
                <w:sz w:val="20"/>
                <w:szCs w:val="20"/>
              </w:rPr>
            </w:pPr>
          </w:p>
        </w:tc>
        <w:tc>
          <w:tcPr>
            <w:tcW w:w="828" w:type="dxa"/>
            <w:tcBorders>
              <w:top w:val="nil"/>
              <w:left w:val="nil"/>
              <w:bottom w:val="nil"/>
              <w:right w:val="nil"/>
            </w:tcBorders>
            <w:noWrap/>
            <w:vAlign w:val="bottom"/>
            <w:hideMark/>
          </w:tcPr>
          <w:p w14:paraId="3E04F861" w14:textId="77777777" w:rsidR="006403DE" w:rsidRPr="006403DE" w:rsidRDefault="006403DE" w:rsidP="006403DE">
            <w:pPr>
              <w:spacing w:after="0" w:line="240" w:lineRule="auto"/>
              <w:jc w:val="left"/>
              <w:rPr>
                <w:rFonts w:ascii="Times New Roman" w:eastAsia="Times New Roman" w:hAnsi="Times New Roman" w:cs="Times New Roman"/>
                <w:sz w:val="20"/>
                <w:szCs w:val="20"/>
              </w:rPr>
            </w:pPr>
          </w:p>
        </w:tc>
        <w:tc>
          <w:tcPr>
            <w:tcW w:w="828" w:type="dxa"/>
            <w:tcBorders>
              <w:top w:val="nil"/>
              <w:left w:val="nil"/>
              <w:bottom w:val="nil"/>
              <w:right w:val="nil"/>
            </w:tcBorders>
            <w:noWrap/>
            <w:vAlign w:val="bottom"/>
            <w:hideMark/>
          </w:tcPr>
          <w:p w14:paraId="5FB97EF9" w14:textId="77777777" w:rsidR="006403DE" w:rsidRPr="006403DE" w:rsidRDefault="006403DE" w:rsidP="006403DE">
            <w:pPr>
              <w:spacing w:after="0" w:line="240" w:lineRule="auto"/>
              <w:jc w:val="left"/>
              <w:rPr>
                <w:rFonts w:ascii="Times New Roman" w:eastAsia="Times New Roman" w:hAnsi="Times New Roman" w:cs="Times New Roman"/>
                <w:sz w:val="20"/>
                <w:szCs w:val="20"/>
              </w:rPr>
            </w:pPr>
          </w:p>
        </w:tc>
      </w:tr>
      <w:tr w:rsidR="006403DE" w:rsidRPr="006403DE" w14:paraId="6E51920C" w14:textId="77777777" w:rsidTr="006403DE">
        <w:trPr>
          <w:trHeight w:val="300"/>
          <w:jc w:val="center"/>
        </w:trPr>
        <w:tc>
          <w:tcPr>
            <w:tcW w:w="4060" w:type="dxa"/>
            <w:gridSpan w:val="2"/>
            <w:tcBorders>
              <w:top w:val="nil"/>
              <w:left w:val="nil"/>
              <w:bottom w:val="nil"/>
              <w:right w:val="nil"/>
            </w:tcBorders>
            <w:noWrap/>
            <w:vAlign w:val="bottom"/>
            <w:hideMark/>
          </w:tcPr>
          <w:p w14:paraId="0C8D75E5" w14:textId="77777777" w:rsidR="006403DE" w:rsidRPr="006403DE" w:rsidRDefault="006403DE" w:rsidP="006403DE">
            <w:pPr>
              <w:spacing w:after="0" w:line="240" w:lineRule="auto"/>
              <w:jc w:val="left"/>
              <w:rPr>
                <w:rFonts w:ascii="Calibri" w:eastAsia="Times New Roman" w:hAnsi="Calibri" w:cs="Calibri"/>
                <w:color w:val="000000"/>
                <w:sz w:val="20"/>
                <w:szCs w:val="20"/>
              </w:rPr>
            </w:pPr>
            <w:r w:rsidRPr="006403DE">
              <w:rPr>
                <w:rFonts w:ascii="Calibri" w:eastAsia="Times New Roman" w:hAnsi="Calibri" w:cs="Calibri"/>
                <w:color w:val="000000"/>
                <w:sz w:val="20"/>
                <w:szCs w:val="20"/>
              </w:rPr>
              <w:t>Department FE</w:t>
            </w:r>
          </w:p>
        </w:tc>
        <w:tc>
          <w:tcPr>
            <w:tcW w:w="262" w:type="dxa"/>
            <w:tcBorders>
              <w:top w:val="nil"/>
              <w:left w:val="nil"/>
              <w:bottom w:val="nil"/>
              <w:right w:val="nil"/>
            </w:tcBorders>
            <w:noWrap/>
            <w:vAlign w:val="bottom"/>
            <w:hideMark/>
          </w:tcPr>
          <w:p w14:paraId="29F08D89" w14:textId="77777777" w:rsidR="006403DE" w:rsidRPr="006403DE" w:rsidRDefault="006403DE" w:rsidP="006403DE">
            <w:pPr>
              <w:spacing w:after="0" w:line="240" w:lineRule="auto"/>
              <w:jc w:val="left"/>
              <w:rPr>
                <w:rFonts w:ascii="Calibri" w:eastAsia="Times New Roman" w:hAnsi="Calibri" w:cs="Calibri"/>
                <w:color w:val="000000"/>
                <w:sz w:val="20"/>
                <w:szCs w:val="20"/>
              </w:rPr>
            </w:pPr>
          </w:p>
        </w:tc>
        <w:tc>
          <w:tcPr>
            <w:tcW w:w="1724" w:type="dxa"/>
            <w:tcBorders>
              <w:top w:val="nil"/>
              <w:left w:val="nil"/>
              <w:bottom w:val="nil"/>
              <w:right w:val="nil"/>
            </w:tcBorders>
            <w:noWrap/>
            <w:vAlign w:val="bottom"/>
            <w:hideMark/>
          </w:tcPr>
          <w:p w14:paraId="0C729538" w14:textId="77777777" w:rsidR="006403DE" w:rsidRPr="006403DE" w:rsidRDefault="006403DE" w:rsidP="006403DE">
            <w:pPr>
              <w:spacing w:after="0" w:line="240" w:lineRule="auto"/>
              <w:jc w:val="center"/>
              <w:rPr>
                <w:rFonts w:ascii="Calibri" w:eastAsia="Times New Roman" w:hAnsi="Calibri" w:cs="Calibri"/>
                <w:color w:val="000000"/>
                <w:sz w:val="20"/>
                <w:szCs w:val="20"/>
              </w:rPr>
            </w:pPr>
            <w:r w:rsidRPr="006403DE">
              <w:rPr>
                <w:rFonts w:ascii="Calibri" w:eastAsia="Times New Roman" w:hAnsi="Calibri" w:cs="Calibri"/>
                <w:color w:val="000000"/>
                <w:sz w:val="20"/>
                <w:szCs w:val="20"/>
              </w:rPr>
              <w:t>Yes</w:t>
            </w:r>
          </w:p>
        </w:tc>
        <w:tc>
          <w:tcPr>
            <w:tcW w:w="828" w:type="dxa"/>
            <w:tcBorders>
              <w:top w:val="nil"/>
              <w:left w:val="nil"/>
              <w:bottom w:val="nil"/>
              <w:right w:val="nil"/>
            </w:tcBorders>
            <w:noWrap/>
            <w:vAlign w:val="bottom"/>
            <w:hideMark/>
          </w:tcPr>
          <w:p w14:paraId="22D32DA8" w14:textId="77777777" w:rsidR="006403DE" w:rsidRPr="006403DE" w:rsidRDefault="006403DE" w:rsidP="006403DE">
            <w:pPr>
              <w:spacing w:after="0" w:line="240" w:lineRule="auto"/>
              <w:jc w:val="center"/>
              <w:rPr>
                <w:rFonts w:ascii="Calibri" w:eastAsia="Times New Roman" w:hAnsi="Calibri" w:cs="Calibri"/>
                <w:color w:val="000000"/>
                <w:sz w:val="20"/>
                <w:szCs w:val="20"/>
              </w:rPr>
            </w:pPr>
          </w:p>
        </w:tc>
        <w:tc>
          <w:tcPr>
            <w:tcW w:w="828" w:type="dxa"/>
            <w:tcBorders>
              <w:top w:val="nil"/>
              <w:left w:val="nil"/>
              <w:bottom w:val="nil"/>
              <w:right w:val="nil"/>
            </w:tcBorders>
            <w:noWrap/>
            <w:vAlign w:val="bottom"/>
            <w:hideMark/>
          </w:tcPr>
          <w:p w14:paraId="1A8B553C" w14:textId="77777777" w:rsidR="006403DE" w:rsidRPr="006403DE" w:rsidRDefault="006403DE" w:rsidP="006403DE">
            <w:pPr>
              <w:spacing w:after="0" w:line="240" w:lineRule="auto"/>
              <w:jc w:val="left"/>
              <w:rPr>
                <w:rFonts w:ascii="Times New Roman" w:eastAsia="Times New Roman" w:hAnsi="Times New Roman" w:cs="Times New Roman"/>
                <w:sz w:val="20"/>
                <w:szCs w:val="20"/>
              </w:rPr>
            </w:pPr>
          </w:p>
        </w:tc>
      </w:tr>
      <w:tr w:rsidR="006403DE" w:rsidRPr="006403DE" w14:paraId="1463C7FD" w14:textId="77777777" w:rsidTr="006403DE">
        <w:trPr>
          <w:trHeight w:val="300"/>
          <w:jc w:val="center"/>
        </w:trPr>
        <w:tc>
          <w:tcPr>
            <w:tcW w:w="4060" w:type="dxa"/>
            <w:gridSpan w:val="2"/>
            <w:tcBorders>
              <w:top w:val="nil"/>
              <w:left w:val="nil"/>
              <w:bottom w:val="single" w:sz="4" w:space="0" w:color="auto"/>
              <w:right w:val="nil"/>
            </w:tcBorders>
            <w:noWrap/>
            <w:vAlign w:val="bottom"/>
            <w:hideMark/>
          </w:tcPr>
          <w:p w14:paraId="4A5CB97D" w14:textId="77777777" w:rsidR="006403DE" w:rsidRPr="006403DE" w:rsidRDefault="006403DE" w:rsidP="006403DE">
            <w:pPr>
              <w:spacing w:after="0" w:line="240" w:lineRule="auto"/>
              <w:jc w:val="left"/>
              <w:rPr>
                <w:rFonts w:ascii="Calibri" w:eastAsia="Times New Roman" w:hAnsi="Calibri" w:cs="Calibri"/>
                <w:color w:val="000000"/>
                <w:sz w:val="20"/>
                <w:szCs w:val="20"/>
              </w:rPr>
            </w:pPr>
            <w:r w:rsidRPr="006403DE">
              <w:rPr>
                <w:rFonts w:ascii="Calibri" w:eastAsia="Times New Roman" w:hAnsi="Calibri" w:cs="Calibri"/>
                <w:color w:val="000000"/>
                <w:sz w:val="20"/>
                <w:szCs w:val="20"/>
              </w:rPr>
              <w:t>Observations</w:t>
            </w:r>
          </w:p>
        </w:tc>
        <w:tc>
          <w:tcPr>
            <w:tcW w:w="262" w:type="dxa"/>
            <w:tcBorders>
              <w:top w:val="nil"/>
              <w:left w:val="nil"/>
              <w:bottom w:val="single" w:sz="4" w:space="0" w:color="auto"/>
              <w:right w:val="nil"/>
            </w:tcBorders>
            <w:noWrap/>
            <w:vAlign w:val="bottom"/>
            <w:hideMark/>
          </w:tcPr>
          <w:p w14:paraId="6244D63C" w14:textId="77777777" w:rsidR="006403DE" w:rsidRPr="006403DE" w:rsidRDefault="006403DE" w:rsidP="006403DE">
            <w:pPr>
              <w:spacing w:after="0" w:line="240" w:lineRule="auto"/>
              <w:jc w:val="left"/>
              <w:rPr>
                <w:rFonts w:ascii="Calibri" w:eastAsia="Times New Roman" w:hAnsi="Calibri" w:cs="Calibri"/>
                <w:color w:val="000000"/>
                <w:sz w:val="20"/>
                <w:szCs w:val="20"/>
              </w:rPr>
            </w:pPr>
            <w:r w:rsidRPr="006403DE">
              <w:rPr>
                <w:rFonts w:ascii="Calibri" w:eastAsia="Times New Roman" w:hAnsi="Calibri" w:cs="Calibri"/>
                <w:color w:val="000000"/>
                <w:sz w:val="20"/>
                <w:szCs w:val="20"/>
              </w:rPr>
              <w:t> </w:t>
            </w:r>
          </w:p>
        </w:tc>
        <w:tc>
          <w:tcPr>
            <w:tcW w:w="1724" w:type="dxa"/>
            <w:tcBorders>
              <w:top w:val="nil"/>
              <w:left w:val="nil"/>
              <w:bottom w:val="single" w:sz="4" w:space="0" w:color="auto"/>
              <w:right w:val="nil"/>
            </w:tcBorders>
            <w:noWrap/>
            <w:vAlign w:val="bottom"/>
            <w:hideMark/>
          </w:tcPr>
          <w:p w14:paraId="05DBB63C" w14:textId="77777777" w:rsidR="006403DE" w:rsidRPr="006403DE" w:rsidRDefault="006403DE" w:rsidP="006403DE">
            <w:pPr>
              <w:spacing w:after="0" w:line="240" w:lineRule="auto"/>
              <w:jc w:val="center"/>
              <w:rPr>
                <w:rFonts w:ascii="Calibri" w:eastAsia="Times New Roman" w:hAnsi="Calibri" w:cs="Calibri"/>
                <w:color w:val="000000"/>
                <w:sz w:val="20"/>
                <w:szCs w:val="20"/>
              </w:rPr>
            </w:pPr>
            <w:r w:rsidRPr="006403DE">
              <w:rPr>
                <w:rFonts w:ascii="Calibri" w:eastAsia="Times New Roman" w:hAnsi="Calibri" w:cs="Calibri"/>
                <w:color w:val="000000"/>
                <w:sz w:val="20"/>
                <w:szCs w:val="20"/>
              </w:rPr>
              <w:t>28,303</w:t>
            </w:r>
          </w:p>
        </w:tc>
        <w:tc>
          <w:tcPr>
            <w:tcW w:w="828" w:type="dxa"/>
            <w:tcBorders>
              <w:top w:val="nil"/>
              <w:left w:val="nil"/>
              <w:bottom w:val="single" w:sz="4" w:space="0" w:color="auto"/>
              <w:right w:val="nil"/>
            </w:tcBorders>
            <w:noWrap/>
            <w:vAlign w:val="bottom"/>
            <w:hideMark/>
          </w:tcPr>
          <w:p w14:paraId="58EAC7A1" w14:textId="77777777" w:rsidR="006403DE" w:rsidRPr="006403DE" w:rsidRDefault="006403DE" w:rsidP="006403DE">
            <w:pPr>
              <w:spacing w:after="0" w:line="240" w:lineRule="auto"/>
              <w:jc w:val="left"/>
              <w:rPr>
                <w:rFonts w:ascii="Calibri" w:eastAsia="Times New Roman" w:hAnsi="Calibri" w:cs="Calibri"/>
                <w:color w:val="000000"/>
                <w:sz w:val="20"/>
                <w:szCs w:val="20"/>
              </w:rPr>
            </w:pPr>
            <w:r w:rsidRPr="006403DE">
              <w:rPr>
                <w:rFonts w:ascii="Calibri" w:eastAsia="Times New Roman" w:hAnsi="Calibri" w:cs="Calibri"/>
                <w:color w:val="000000"/>
                <w:sz w:val="20"/>
                <w:szCs w:val="20"/>
              </w:rPr>
              <w:t> </w:t>
            </w:r>
          </w:p>
        </w:tc>
        <w:tc>
          <w:tcPr>
            <w:tcW w:w="828" w:type="dxa"/>
            <w:tcBorders>
              <w:top w:val="nil"/>
              <w:left w:val="nil"/>
              <w:bottom w:val="single" w:sz="4" w:space="0" w:color="auto"/>
              <w:right w:val="nil"/>
            </w:tcBorders>
            <w:noWrap/>
            <w:vAlign w:val="bottom"/>
            <w:hideMark/>
          </w:tcPr>
          <w:p w14:paraId="41F94F4B" w14:textId="77777777" w:rsidR="006403DE" w:rsidRPr="006403DE" w:rsidRDefault="006403DE" w:rsidP="006403DE">
            <w:pPr>
              <w:spacing w:after="0" w:line="240" w:lineRule="auto"/>
              <w:jc w:val="left"/>
              <w:rPr>
                <w:rFonts w:ascii="Calibri" w:eastAsia="Times New Roman" w:hAnsi="Calibri" w:cs="Calibri"/>
                <w:color w:val="000000"/>
                <w:sz w:val="20"/>
                <w:szCs w:val="20"/>
              </w:rPr>
            </w:pPr>
            <w:r w:rsidRPr="006403DE">
              <w:rPr>
                <w:rFonts w:ascii="Calibri" w:eastAsia="Times New Roman" w:hAnsi="Calibri" w:cs="Calibri"/>
                <w:color w:val="000000"/>
                <w:sz w:val="20"/>
                <w:szCs w:val="20"/>
              </w:rPr>
              <w:t> </w:t>
            </w:r>
          </w:p>
        </w:tc>
      </w:tr>
      <w:tr w:rsidR="006403DE" w:rsidRPr="006403DE" w14:paraId="4CEF7FF0" w14:textId="77777777" w:rsidTr="006403DE">
        <w:trPr>
          <w:trHeight w:val="300"/>
          <w:jc w:val="center"/>
        </w:trPr>
        <w:tc>
          <w:tcPr>
            <w:tcW w:w="4060" w:type="dxa"/>
            <w:gridSpan w:val="2"/>
            <w:tcBorders>
              <w:top w:val="single" w:sz="4" w:space="0" w:color="auto"/>
              <w:left w:val="nil"/>
              <w:bottom w:val="nil"/>
              <w:right w:val="nil"/>
            </w:tcBorders>
            <w:noWrap/>
            <w:vAlign w:val="center"/>
            <w:hideMark/>
          </w:tcPr>
          <w:p w14:paraId="52FC0349" w14:textId="77777777" w:rsidR="006403DE" w:rsidRPr="006403DE" w:rsidRDefault="006403DE" w:rsidP="006403DE">
            <w:pPr>
              <w:spacing w:after="0" w:line="240" w:lineRule="auto"/>
              <w:jc w:val="left"/>
              <w:rPr>
                <w:rFonts w:ascii="Calibri" w:eastAsia="Times New Roman" w:hAnsi="Calibri" w:cs="Calibri"/>
                <w:color w:val="000000"/>
                <w:sz w:val="20"/>
                <w:szCs w:val="20"/>
              </w:rPr>
            </w:pPr>
            <w:r w:rsidRPr="006403DE">
              <w:rPr>
                <w:rFonts w:ascii="Calibri" w:eastAsia="Times New Roman" w:hAnsi="Calibri" w:cs="Calibri"/>
                <w:color w:val="000000"/>
                <w:sz w:val="20"/>
                <w:szCs w:val="20"/>
              </w:rPr>
              <w:t>*** p&lt;0.01, ** p&lt;0.05, * p&lt;0.1</w:t>
            </w:r>
          </w:p>
        </w:tc>
        <w:tc>
          <w:tcPr>
            <w:tcW w:w="262" w:type="dxa"/>
            <w:tcBorders>
              <w:top w:val="nil"/>
              <w:left w:val="nil"/>
              <w:bottom w:val="nil"/>
              <w:right w:val="nil"/>
            </w:tcBorders>
            <w:noWrap/>
            <w:vAlign w:val="center"/>
            <w:hideMark/>
          </w:tcPr>
          <w:p w14:paraId="2916E136" w14:textId="77777777" w:rsidR="006403DE" w:rsidRPr="006403DE" w:rsidRDefault="006403DE" w:rsidP="006403DE">
            <w:pPr>
              <w:spacing w:after="0" w:line="240" w:lineRule="auto"/>
              <w:jc w:val="left"/>
              <w:rPr>
                <w:rFonts w:ascii="Calibri" w:eastAsia="Times New Roman" w:hAnsi="Calibri" w:cs="Calibri"/>
                <w:color w:val="000000"/>
                <w:sz w:val="20"/>
                <w:szCs w:val="20"/>
              </w:rPr>
            </w:pPr>
          </w:p>
        </w:tc>
        <w:tc>
          <w:tcPr>
            <w:tcW w:w="1724" w:type="dxa"/>
            <w:tcBorders>
              <w:top w:val="nil"/>
              <w:left w:val="nil"/>
              <w:bottom w:val="nil"/>
              <w:right w:val="nil"/>
            </w:tcBorders>
            <w:noWrap/>
            <w:vAlign w:val="bottom"/>
            <w:hideMark/>
          </w:tcPr>
          <w:p w14:paraId="6DCA985A" w14:textId="77777777" w:rsidR="006403DE" w:rsidRPr="006403DE" w:rsidRDefault="006403DE" w:rsidP="006403DE">
            <w:pPr>
              <w:spacing w:after="0" w:line="240" w:lineRule="auto"/>
              <w:jc w:val="left"/>
              <w:rPr>
                <w:rFonts w:ascii="Times New Roman" w:eastAsia="Times New Roman" w:hAnsi="Times New Roman" w:cs="Times New Roman"/>
                <w:sz w:val="20"/>
                <w:szCs w:val="20"/>
              </w:rPr>
            </w:pPr>
          </w:p>
        </w:tc>
        <w:tc>
          <w:tcPr>
            <w:tcW w:w="828" w:type="dxa"/>
            <w:tcBorders>
              <w:top w:val="nil"/>
              <w:left w:val="nil"/>
              <w:bottom w:val="nil"/>
              <w:right w:val="nil"/>
            </w:tcBorders>
            <w:noWrap/>
            <w:vAlign w:val="bottom"/>
            <w:hideMark/>
          </w:tcPr>
          <w:p w14:paraId="10439655" w14:textId="77777777" w:rsidR="006403DE" w:rsidRPr="006403DE" w:rsidRDefault="006403DE" w:rsidP="006403DE">
            <w:pPr>
              <w:spacing w:after="0" w:line="240" w:lineRule="auto"/>
              <w:jc w:val="left"/>
              <w:rPr>
                <w:rFonts w:ascii="Times New Roman" w:eastAsia="Times New Roman" w:hAnsi="Times New Roman" w:cs="Times New Roman"/>
                <w:sz w:val="20"/>
                <w:szCs w:val="20"/>
              </w:rPr>
            </w:pPr>
          </w:p>
        </w:tc>
        <w:tc>
          <w:tcPr>
            <w:tcW w:w="828" w:type="dxa"/>
            <w:tcBorders>
              <w:top w:val="nil"/>
              <w:left w:val="nil"/>
              <w:bottom w:val="nil"/>
              <w:right w:val="nil"/>
            </w:tcBorders>
            <w:noWrap/>
            <w:vAlign w:val="bottom"/>
            <w:hideMark/>
          </w:tcPr>
          <w:p w14:paraId="0BEAE212" w14:textId="77777777" w:rsidR="006403DE" w:rsidRPr="006403DE" w:rsidRDefault="006403DE" w:rsidP="006403DE">
            <w:pPr>
              <w:spacing w:after="0" w:line="240" w:lineRule="auto"/>
              <w:jc w:val="left"/>
              <w:rPr>
                <w:rFonts w:ascii="Times New Roman" w:eastAsia="Times New Roman" w:hAnsi="Times New Roman" w:cs="Times New Roman"/>
                <w:sz w:val="20"/>
                <w:szCs w:val="20"/>
              </w:rPr>
            </w:pPr>
          </w:p>
        </w:tc>
      </w:tr>
    </w:tbl>
    <w:p w14:paraId="70346FCD" w14:textId="77777777" w:rsidR="006403DE" w:rsidRPr="006403DE" w:rsidRDefault="006403DE" w:rsidP="006403DE"/>
    <w:p w14:paraId="1C0FAB8C" w14:textId="25B111BB" w:rsidR="00923F54" w:rsidRPr="0038278B" w:rsidRDefault="00923F54" w:rsidP="00112A0B">
      <w:pPr>
        <w:spacing w:line="257" w:lineRule="auto"/>
        <w:jc w:val="center"/>
      </w:pPr>
    </w:p>
    <w:sectPr w:rsidR="00923F54" w:rsidRPr="0038278B" w:rsidSect="00356221">
      <w:footerReference w:type="default" r:id="rId28"/>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6AB76" w14:textId="77777777" w:rsidR="00E81B6C" w:rsidRDefault="00E81B6C" w:rsidP="00342216">
      <w:pPr>
        <w:spacing w:after="0" w:line="240" w:lineRule="auto"/>
      </w:pPr>
      <w:r>
        <w:separator/>
      </w:r>
    </w:p>
  </w:endnote>
  <w:endnote w:type="continuationSeparator" w:id="0">
    <w:p w14:paraId="3768453D" w14:textId="77777777" w:rsidR="00E81B6C" w:rsidRDefault="00E81B6C" w:rsidP="00342216">
      <w:pPr>
        <w:spacing w:after="0" w:line="240" w:lineRule="auto"/>
      </w:pPr>
      <w:r>
        <w:continuationSeparator/>
      </w:r>
    </w:p>
  </w:endnote>
  <w:endnote w:type="continuationNotice" w:id="1">
    <w:p w14:paraId="297F67DA" w14:textId="77777777" w:rsidR="00E81B6C" w:rsidRDefault="00E81B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71007" w14:textId="20852320" w:rsidR="004C3B7B" w:rsidRDefault="00EA0987">
    <w:pPr>
      <w:pStyle w:val="Footer"/>
      <w:jc w:val="right"/>
    </w:pPr>
    <w:r>
      <w:rPr>
        <w:noProof/>
      </w:rPr>
      <mc:AlternateContent>
        <mc:Choice Requires="wps">
          <w:drawing>
            <wp:anchor distT="0" distB="0" distL="114300" distR="114300" simplePos="0" relativeHeight="251664384" behindDoc="0" locked="0" layoutInCell="0" allowOverlap="1" wp14:anchorId="2EA13487" wp14:editId="31A4FBC9">
              <wp:simplePos x="0" y="0"/>
              <wp:positionH relativeFrom="page">
                <wp:posOffset>0</wp:posOffset>
              </wp:positionH>
              <wp:positionV relativeFrom="page">
                <wp:posOffset>9594850</wp:posOffset>
              </wp:positionV>
              <wp:extent cx="7772400" cy="273050"/>
              <wp:effectExtent l="0" t="0" r="0" b="12700"/>
              <wp:wrapNone/>
              <wp:docPr id="24" name="MSIPCM58dc4733b5e8e29e777f8948" descr="{&quot;HashCode&quot;:1990712160,&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C305DA" w14:textId="215C0FE2" w:rsidR="00EA0987" w:rsidRPr="00EA0987" w:rsidRDefault="000003E4" w:rsidP="00EA0987">
                          <w:pPr>
                            <w:spacing w:after="0"/>
                            <w:jc w:val="right"/>
                            <w:rPr>
                              <w:rFonts w:ascii="Calibri" w:hAnsi="Calibri" w:cs="Calibri"/>
                              <w:color w:val="000000"/>
                              <w:sz w:val="24"/>
                            </w:rPr>
                          </w:pPr>
                          <w:r>
                            <w:rPr>
                              <w:rFonts w:ascii="Calibri" w:hAnsi="Calibri" w:cs="Calibri"/>
                              <w:color w:val="000000"/>
                              <w:sz w:val="24"/>
                            </w:rPr>
                            <w:t>Official Use</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2EA13487" id="_x0000_t202" coordsize="21600,21600" o:spt="202" path="m,l,21600r21600,l21600,xe">
              <v:stroke joinstyle="miter"/>
              <v:path gradientshapeok="t" o:connecttype="rect"/>
            </v:shapetype>
            <v:shape id="MSIPCM58dc4733b5e8e29e777f8948" o:spid="_x0000_s1026" type="#_x0000_t202" alt="{&quot;HashCode&quot;:1990712160,&quot;Height&quot;:792.0,&quot;Width&quot;:612.0,&quot;Placement&quot;:&quot;Footer&quot;,&quot;Index&quot;:&quot;Primary&quot;,&quot;Section&quot;:1,&quot;Top&quot;:0.0,&quot;Left&quot;:0.0}" style="position:absolute;left:0;text-align:left;margin-left:0;margin-top:755.5pt;width:612pt;height:21.5pt;z-index:25166438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JEu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" o:allowincell="f" filled="f" stroked="f" strokeweight=".5pt">
              <v:textbox inset=",0,20pt,0">
                <w:txbxContent>
                  <w:p w14:paraId="3BC305DA" w14:textId="215C0FE2" w:rsidR="00EA0987" w:rsidRPr="00EA0987" w:rsidRDefault="000003E4" w:rsidP="00EA0987">
                    <w:pPr>
                      <w:spacing w:after="0"/>
                      <w:jc w:val="right"/>
                      <w:rPr>
                        <w:rFonts w:ascii="Calibri" w:hAnsi="Calibri" w:cs="Calibri"/>
                        <w:color w:val="000000"/>
                        <w:sz w:val="24"/>
                      </w:rPr>
                    </w:pPr>
                    <w:r>
                      <w:rPr>
                        <w:rFonts w:ascii="Calibri" w:hAnsi="Calibri" w:cs="Calibri"/>
                        <w:color w:val="000000"/>
                        <w:sz w:val="24"/>
                      </w:rPr>
                      <w:t>Official Use</w:t>
                    </w:r>
                  </w:p>
                </w:txbxContent>
              </v:textbox>
              <w10:wrap anchorx="page" anchory="page"/>
            </v:shape>
          </w:pict>
        </mc:Fallback>
      </mc:AlternateContent>
    </w:r>
    <w:r w:rsidR="00327CB3">
      <w:rPr>
        <w:noProof/>
      </w:rPr>
      <mc:AlternateContent>
        <mc:Choice Requires="wps">
          <w:drawing>
            <wp:anchor distT="0" distB="0" distL="114300" distR="114300" simplePos="0" relativeHeight="251662336" behindDoc="0" locked="0" layoutInCell="0" allowOverlap="1" wp14:anchorId="3A219711" wp14:editId="0E33F51C">
              <wp:simplePos x="0" y="0"/>
              <wp:positionH relativeFrom="page">
                <wp:posOffset>0</wp:posOffset>
              </wp:positionH>
              <wp:positionV relativeFrom="page">
                <wp:posOffset>9594215</wp:posOffset>
              </wp:positionV>
              <wp:extent cx="7772400" cy="273050"/>
              <wp:effectExtent l="0" t="0" r="0" b="12700"/>
              <wp:wrapNone/>
              <wp:docPr id="13" name="Text Box 13" descr="{&quot;HashCode&quot;:1990712160,&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D28BD7" w14:textId="18976E76" w:rsidR="00327CB3" w:rsidRPr="00327CB3" w:rsidRDefault="00327CB3" w:rsidP="00327CB3">
                          <w:pPr>
                            <w:spacing w:after="0"/>
                            <w:jc w:val="right"/>
                            <w:rPr>
                              <w:rFonts w:ascii="Calibri" w:hAnsi="Calibri" w:cs="Calibri"/>
                              <w:color w:val="000000"/>
                              <w:sz w:val="24"/>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 w14:anchorId="3A219711" id="Text Box 13" o:spid="_x0000_s1027" type="#_x0000_t202" alt="{&quot;HashCode&quot;:1990712160,&quot;Height&quot;:792.0,&quot;Width&quot;:612.0,&quot;Placement&quot;:&quot;Footer&quot;,&quot;Index&quot;:&quot;Primary&quot;,&quot;Section&quot;:1,&quot;Top&quot;:0.0,&quot;Left&quot;:0.0}" style="position:absolute;left:0;text-align:left;margin-left:0;margin-top:755.45pt;width:612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" o:allowincell="f" filled="f" stroked="f" strokeweight=".5pt">
              <v:textbox inset=",0,20pt,0">
                <w:txbxContent>
                  <w:p w14:paraId="77D28BD7" w14:textId="18976E76" w:rsidR="00327CB3" w:rsidRPr="00327CB3" w:rsidRDefault="00327CB3" w:rsidP="00327CB3">
                    <w:pPr>
                      <w:spacing w:after="0"/>
                      <w:jc w:val="right"/>
                      <w:rPr>
                        <w:rFonts w:ascii="Calibri" w:hAnsi="Calibri" w:cs="Calibri"/>
                        <w:color w:val="000000"/>
                        <w:sz w:val="24"/>
                      </w:rPr>
                    </w:pPr>
                  </w:p>
                </w:txbxContent>
              </v:textbox>
              <w10:wrap anchorx="page" anchory="page"/>
            </v:shape>
          </w:pict>
        </mc:Fallback>
      </mc:AlternateContent>
    </w:r>
    <w:r w:rsidR="001400CA">
      <w:rPr>
        <w:noProof/>
      </w:rPr>
      <mc:AlternateContent>
        <mc:Choice Requires="wps">
          <w:drawing>
            <wp:anchor distT="0" distB="0" distL="114300" distR="114300" simplePos="0" relativeHeight="251660288" behindDoc="0" locked="0" layoutInCell="0" allowOverlap="1" wp14:anchorId="66371642" wp14:editId="735B5295">
              <wp:simplePos x="0" y="0"/>
              <wp:positionH relativeFrom="page">
                <wp:posOffset>0</wp:posOffset>
              </wp:positionH>
              <wp:positionV relativeFrom="page">
                <wp:posOffset>9594215</wp:posOffset>
              </wp:positionV>
              <wp:extent cx="7772400" cy="273050"/>
              <wp:effectExtent l="0" t="0" r="0" b="12700"/>
              <wp:wrapNone/>
              <wp:docPr id="12" name="Text Box 12" descr="{&quot;HashCode&quot;:1990712160,&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04C412" w14:textId="74D8F0AA" w:rsidR="001400CA" w:rsidRPr="001400CA" w:rsidRDefault="001400CA" w:rsidP="001400CA">
                          <w:pPr>
                            <w:spacing w:after="0"/>
                            <w:jc w:val="right"/>
                            <w:rPr>
                              <w:rFonts w:ascii="Calibri" w:hAnsi="Calibri" w:cs="Calibri"/>
                              <w:color w:val="000000"/>
                              <w:sz w:val="24"/>
                            </w:rPr>
                          </w:pPr>
                          <w:r w:rsidRPr="001400CA">
                            <w:rPr>
                              <w:rFonts w:ascii="Calibri" w:hAnsi="Calibri" w:cs="Calibri"/>
                              <w:color w:val="000000"/>
                              <w:sz w:val="24"/>
                            </w:rPr>
                            <w:t>Official Use</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 w14:anchorId="66371642" id="Text Box 12" o:spid="_x0000_s1028" type="#_x0000_t202" alt="{&quot;HashCode&quot;:1990712160,&quot;Height&quot;:792.0,&quot;Width&quot;:612.0,&quot;Placement&quot;:&quot;Footer&quot;,&quot;Index&quot;:&quot;Primary&quot;,&quot;Section&quot;:1,&quot;Top&quot;:0.0,&quot;Left&quot;:0.0}" style="position:absolute;left:0;text-align:left;margin-left:0;margin-top:755.45pt;width:612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" o:allowincell="f" filled="f" stroked="f" strokeweight=".5pt">
              <v:textbox inset=",0,20pt,0">
                <w:txbxContent>
                  <w:p w14:paraId="0F04C412" w14:textId="74D8F0AA" w:rsidR="001400CA" w:rsidRPr="001400CA" w:rsidRDefault="001400CA" w:rsidP="001400CA">
                    <w:pPr>
                      <w:spacing w:after="0"/>
                      <w:jc w:val="right"/>
                      <w:rPr>
                        <w:rFonts w:ascii="Calibri" w:hAnsi="Calibri" w:cs="Calibri"/>
                        <w:color w:val="000000"/>
                        <w:sz w:val="24"/>
                      </w:rPr>
                    </w:pPr>
                    <w:r w:rsidRPr="001400CA">
                      <w:rPr>
                        <w:rFonts w:ascii="Calibri" w:hAnsi="Calibri" w:cs="Calibri"/>
                        <w:color w:val="000000"/>
                        <w:sz w:val="24"/>
                      </w:rPr>
                      <w:t>Official Use</w:t>
                    </w:r>
                  </w:p>
                </w:txbxContent>
              </v:textbox>
              <w10:wrap anchorx="page" anchory="page"/>
            </v:shape>
          </w:pict>
        </mc:Fallback>
      </mc:AlternateContent>
    </w:r>
    <w:r w:rsidR="00975F11">
      <w:rPr>
        <w:noProof/>
      </w:rPr>
      <mc:AlternateContent>
        <mc:Choice Requires="wps">
          <w:drawing>
            <wp:anchor distT="0" distB="0" distL="114300" distR="114300" simplePos="0" relativeHeight="251658240" behindDoc="0" locked="0" layoutInCell="0" allowOverlap="1" wp14:anchorId="38306192" wp14:editId="405307F0">
              <wp:simplePos x="0" y="0"/>
              <wp:positionH relativeFrom="page">
                <wp:posOffset>0</wp:posOffset>
              </wp:positionH>
              <wp:positionV relativeFrom="page">
                <wp:posOffset>9594215</wp:posOffset>
              </wp:positionV>
              <wp:extent cx="7772400" cy="273050"/>
              <wp:effectExtent l="0" t="0" r="0" b="12700"/>
              <wp:wrapNone/>
              <wp:docPr id="6" name="Text Box 6" descr="{&quot;HashCode&quot;:1990712160,&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E05413" w14:textId="0C467245" w:rsidR="00975F11" w:rsidRPr="00975F11" w:rsidRDefault="00975F11" w:rsidP="00975F11">
                          <w:pPr>
                            <w:spacing w:after="0"/>
                            <w:jc w:val="right"/>
                            <w:rPr>
                              <w:rFonts w:ascii="Calibri" w:hAnsi="Calibri" w:cs="Calibri"/>
                              <w:color w:val="000000"/>
                              <w:sz w:val="24"/>
                            </w:rPr>
                          </w:pPr>
                          <w:r w:rsidRPr="00975F11">
                            <w:rPr>
                              <w:rFonts w:ascii="Calibri" w:hAnsi="Calibri" w:cs="Calibri"/>
                              <w:color w:val="000000"/>
                              <w:sz w:val="24"/>
                            </w:rPr>
                            <w:t>Official Use</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 w14:anchorId="38306192" id="Text Box 6" o:spid="_x0000_s1029" type="#_x0000_t202" alt="{&quot;HashCode&quot;:1990712160,&quot;Height&quot;:792.0,&quot;Width&quot;:612.0,&quot;Placement&quot;:&quot;Footer&quot;,&quot;Index&quot;:&quot;Primary&quot;,&quot;Section&quot;:1,&quot;Top&quot;:0.0,&quot;Left&quot;:0.0}" style="position:absolute;left:0;text-align:left;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" o:allowincell="f" filled="f" stroked="f" strokeweight=".5pt">
              <v:textbox inset=",0,20pt,0">
                <w:txbxContent>
                  <w:p w14:paraId="04E05413" w14:textId="0C467245" w:rsidR="00975F11" w:rsidRPr="00975F11" w:rsidRDefault="00975F11" w:rsidP="00975F11">
                    <w:pPr>
                      <w:spacing w:after="0"/>
                      <w:jc w:val="right"/>
                      <w:rPr>
                        <w:rFonts w:ascii="Calibri" w:hAnsi="Calibri" w:cs="Calibri"/>
                        <w:color w:val="000000"/>
                        <w:sz w:val="24"/>
                      </w:rPr>
                    </w:pPr>
                    <w:r w:rsidRPr="00975F11">
                      <w:rPr>
                        <w:rFonts w:ascii="Calibri" w:hAnsi="Calibri" w:cs="Calibri"/>
                        <w:color w:val="000000"/>
                        <w:sz w:val="24"/>
                      </w:rPr>
                      <w:t>Official Use</w:t>
                    </w:r>
                  </w:p>
                </w:txbxContent>
              </v:textbox>
              <w10:wrap anchorx="page" anchory="page"/>
            </v:shape>
          </w:pict>
        </mc:Fallback>
      </mc:AlternateContent>
    </w:r>
    <w:r w:rsidR="00B547AC">
      <w:rPr>
        <w:noProof/>
      </w:rPr>
      <mc:AlternateContent>
        <mc:Choice Requires="wps">
          <w:drawing>
            <wp:anchor distT="0" distB="0" distL="114300" distR="114300" simplePos="0" relativeHeight="251656192" behindDoc="0" locked="0" layoutInCell="0" allowOverlap="1" wp14:anchorId="2FA50C6B" wp14:editId="38CF8555">
              <wp:simplePos x="0" y="0"/>
              <wp:positionH relativeFrom="page">
                <wp:posOffset>0</wp:posOffset>
              </wp:positionH>
              <wp:positionV relativeFrom="page">
                <wp:posOffset>9594215</wp:posOffset>
              </wp:positionV>
              <wp:extent cx="7772400" cy="273050"/>
              <wp:effectExtent l="0" t="0" r="0" b="12700"/>
              <wp:wrapNone/>
              <wp:docPr id="5" name="Text Box 5" descr="{&quot;HashCode&quot;:1990712160,&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C6B460C" w14:textId="435F3C8E" w:rsidR="00B547AC" w:rsidRPr="00B547AC" w:rsidRDefault="00B547AC" w:rsidP="00B547AC">
                          <w:pPr>
                            <w:spacing w:after="0"/>
                            <w:jc w:val="right"/>
                            <w:rPr>
                              <w:rFonts w:ascii="Calibri" w:hAnsi="Calibri" w:cs="Calibri"/>
                              <w:color w:val="000000"/>
                              <w:sz w:val="24"/>
                            </w:rPr>
                          </w:pPr>
                          <w:r w:rsidRPr="00B547AC">
                            <w:rPr>
                              <w:rFonts w:ascii="Calibri" w:hAnsi="Calibri" w:cs="Calibri"/>
                              <w:color w:val="000000"/>
                              <w:sz w:val="24"/>
                            </w:rPr>
                            <w:t>Official Use</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 w14:anchorId="2FA50C6B" id="Text Box 5" o:spid="_x0000_s1030" type="#_x0000_t202" alt="{&quot;HashCode&quot;:1990712160,&quot;Height&quot;:792.0,&quot;Width&quot;:612.0,&quot;Placement&quot;:&quot;Footer&quot;,&quot;Index&quot;:&quot;Primary&quot;,&quot;Section&quot;:1,&quot;Top&quot;:0.0,&quot;Left&quot;:0.0}" style="position:absolute;left:0;text-align:left;margin-left:0;margin-top:755.45pt;width:612pt;height:21.5pt;z-index:25165619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" o:allowincell="f" filled="f" stroked="f" strokeweight=".5pt">
              <v:textbox inset=",0,20pt,0">
                <w:txbxContent>
                  <w:p w14:paraId="6C6B460C" w14:textId="435F3C8E" w:rsidR="00B547AC" w:rsidRPr="00B547AC" w:rsidRDefault="00B547AC" w:rsidP="00B547AC">
                    <w:pPr>
                      <w:spacing w:after="0"/>
                      <w:jc w:val="right"/>
                      <w:rPr>
                        <w:rFonts w:ascii="Calibri" w:hAnsi="Calibri" w:cs="Calibri"/>
                        <w:color w:val="000000"/>
                        <w:sz w:val="24"/>
                      </w:rPr>
                    </w:pPr>
                    <w:r w:rsidRPr="00B547AC">
                      <w:rPr>
                        <w:rFonts w:ascii="Calibri" w:hAnsi="Calibri" w:cs="Calibri"/>
                        <w:color w:val="000000"/>
                        <w:sz w:val="24"/>
                      </w:rPr>
                      <w:t>Official Use</w:t>
                    </w:r>
                  </w:p>
                </w:txbxContent>
              </v:textbox>
              <w10:wrap anchorx="page" anchory="page"/>
            </v:shape>
          </w:pict>
        </mc:Fallback>
      </mc:AlternateContent>
    </w:r>
    <w:r w:rsidR="008A687B">
      <w:rPr>
        <w:noProof/>
      </w:rPr>
      <mc:AlternateContent>
        <mc:Choice Requires="wps">
          <w:drawing>
            <wp:anchor distT="0" distB="0" distL="114300" distR="114300" simplePos="0" relativeHeight="251654144" behindDoc="0" locked="0" layoutInCell="0" allowOverlap="1" wp14:anchorId="0D344811" wp14:editId="4638E043">
              <wp:simplePos x="0" y="0"/>
              <wp:positionH relativeFrom="page">
                <wp:posOffset>0</wp:posOffset>
              </wp:positionH>
              <wp:positionV relativeFrom="page">
                <wp:posOffset>9594215</wp:posOffset>
              </wp:positionV>
              <wp:extent cx="7772400" cy="273050"/>
              <wp:effectExtent l="0" t="0" r="0" b="12700"/>
              <wp:wrapNone/>
              <wp:docPr id="4" name="Text Box 4" descr="{&quot;HashCode&quot;:1990712160,&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DC46D2E" w14:textId="784917E9" w:rsidR="008A687B" w:rsidRPr="008A687B" w:rsidRDefault="008A687B" w:rsidP="008A687B">
                          <w:pPr>
                            <w:spacing w:after="0"/>
                            <w:jc w:val="right"/>
                            <w:rPr>
                              <w:rFonts w:ascii="Calibri" w:hAnsi="Calibri" w:cs="Calibri"/>
                              <w:color w:val="000000"/>
                              <w:sz w:val="24"/>
                            </w:rPr>
                          </w:pPr>
                          <w:r w:rsidRPr="008A687B">
                            <w:rPr>
                              <w:rFonts w:ascii="Calibri" w:hAnsi="Calibri" w:cs="Calibri"/>
                              <w:color w:val="000000"/>
                              <w:sz w:val="24"/>
                            </w:rPr>
                            <w:t>Official Use</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 w14:anchorId="0D344811" id="Text Box 4" o:spid="_x0000_s1031" type="#_x0000_t202" alt="{&quot;HashCode&quot;:1990712160,&quot;Height&quot;:792.0,&quot;Width&quot;:612.0,&quot;Placement&quot;:&quot;Footer&quot;,&quot;Index&quot;:&quot;Primary&quot;,&quot;Section&quot;:1,&quot;Top&quot;:0.0,&quot;Left&quot;:0.0}" style="position:absolute;left:0;text-align:left;margin-left:0;margin-top:755.45pt;width:612pt;height:21.5pt;z-index:25165414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" o:allowincell="f" filled="f" stroked="f" strokeweight=".5pt">
              <v:textbox inset=",0,20pt,0">
                <w:txbxContent>
                  <w:p w14:paraId="7DC46D2E" w14:textId="784917E9" w:rsidR="008A687B" w:rsidRPr="008A687B" w:rsidRDefault="008A687B" w:rsidP="008A687B">
                    <w:pPr>
                      <w:spacing w:after="0"/>
                      <w:jc w:val="right"/>
                      <w:rPr>
                        <w:rFonts w:ascii="Calibri" w:hAnsi="Calibri" w:cs="Calibri"/>
                        <w:color w:val="000000"/>
                        <w:sz w:val="24"/>
                      </w:rPr>
                    </w:pPr>
                    <w:r w:rsidRPr="008A687B">
                      <w:rPr>
                        <w:rFonts w:ascii="Calibri" w:hAnsi="Calibri" w:cs="Calibri"/>
                        <w:color w:val="000000"/>
                        <w:sz w:val="24"/>
                      </w:rPr>
                      <w:t>Official Use</w:t>
                    </w:r>
                  </w:p>
                </w:txbxContent>
              </v:textbox>
              <w10:wrap anchorx="page" anchory="page"/>
            </v:shape>
          </w:pict>
        </mc:Fallback>
      </mc:AlternateContent>
    </w:r>
    <w:r w:rsidR="00B66AC4">
      <w:rPr>
        <w:noProof/>
      </w:rPr>
      <mc:AlternateContent>
        <mc:Choice Requires="wps">
          <w:drawing>
            <wp:anchor distT="0" distB="0" distL="114300" distR="114300" simplePos="0" relativeHeight="251652096" behindDoc="0" locked="0" layoutInCell="0" allowOverlap="1" wp14:anchorId="5D1A2205" wp14:editId="385E408E">
              <wp:simplePos x="0" y="0"/>
              <wp:positionH relativeFrom="page">
                <wp:posOffset>0</wp:posOffset>
              </wp:positionH>
              <wp:positionV relativeFrom="page">
                <wp:posOffset>9594215</wp:posOffset>
              </wp:positionV>
              <wp:extent cx="7772400" cy="273050"/>
              <wp:effectExtent l="0" t="0" r="0" b="12700"/>
              <wp:wrapNone/>
              <wp:docPr id="44" name="Text Box 44" descr="{&quot;HashCode&quot;:1990712160,&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6A7A2FD" w14:textId="6C7B0A74" w:rsidR="00B66AC4" w:rsidRPr="00B66AC4" w:rsidRDefault="00B66AC4" w:rsidP="00B66AC4">
                          <w:pPr>
                            <w:spacing w:after="0"/>
                            <w:jc w:val="right"/>
                            <w:rPr>
                              <w:rFonts w:ascii="Calibri" w:hAnsi="Calibri" w:cs="Calibri"/>
                              <w:color w:val="000000"/>
                              <w:sz w:val="24"/>
                            </w:rPr>
                          </w:pPr>
                          <w:r w:rsidRPr="00B66AC4">
                            <w:rPr>
                              <w:rFonts w:ascii="Calibri" w:hAnsi="Calibri" w:cs="Calibri"/>
                              <w:color w:val="000000"/>
                              <w:sz w:val="24"/>
                            </w:rPr>
                            <w:t>Official Use</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 w14:anchorId="5D1A2205" id="Text Box 44" o:spid="_x0000_s1032" type="#_x0000_t202" alt="{&quot;HashCode&quot;:1990712160,&quot;Height&quot;:792.0,&quot;Width&quot;:612.0,&quot;Placement&quot;:&quot;Footer&quot;,&quot;Index&quot;:&quot;Primary&quot;,&quot;Section&quot;:1,&quot;Top&quot;:0.0,&quot;Left&quot;:0.0}" style="position:absolute;left:0;text-align:left;margin-left:0;margin-top:755.45pt;width:612pt;height:21.5pt;z-index:25165209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" o:allowincell="f" filled="f" stroked="f" strokeweight=".5pt">
              <v:textbox inset=",0,20pt,0">
                <w:txbxContent>
                  <w:p w14:paraId="36A7A2FD" w14:textId="6C7B0A74" w:rsidR="00B66AC4" w:rsidRPr="00B66AC4" w:rsidRDefault="00B66AC4" w:rsidP="00B66AC4">
                    <w:pPr>
                      <w:spacing w:after="0"/>
                      <w:jc w:val="right"/>
                      <w:rPr>
                        <w:rFonts w:ascii="Calibri" w:hAnsi="Calibri" w:cs="Calibri"/>
                        <w:color w:val="000000"/>
                        <w:sz w:val="24"/>
                      </w:rPr>
                    </w:pPr>
                    <w:r w:rsidRPr="00B66AC4">
                      <w:rPr>
                        <w:rFonts w:ascii="Calibri" w:hAnsi="Calibri" w:cs="Calibri"/>
                        <w:color w:val="000000"/>
                        <w:sz w:val="24"/>
                      </w:rPr>
                      <w:t>Official Use</w:t>
                    </w:r>
                  </w:p>
                </w:txbxContent>
              </v:textbox>
              <w10:wrap anchorx="page" anchory="page"/>
            </v:shape>
          </w:pict>
        </mc:Fallback>
      </mc:AlternateContent>
    </w:r>
    <w:sdt>
      <w:sdtPr>
        <w:id w:val="2049646014"/>
        <w:docPartObj>
          <w:docPartGallery w:val="Page Numbers (Bottom of Page)"/>
          <w:docPartUnique/>
        </w:docPartObj>
      </w:sdtPr>
      <w:sdtEndPr>
        <w:rPr>
          <w:noProof/>
        </w:rPr>
      </w:sdtEndPr>
      <w:sdtContent>
        <w:r w:rsidR="004C3B7B">
          <w:fldChar w:fldCharType="begin"/>
        </w:r>
        <w:r w:rsidR="004C3B7B">
          <w:instrText xml:space="preserve"> PAGE   \* MERGEFORMAT </w:instrText>
        </w:r>
        <w:r w:rsidR="004C3B7B">
          <w:fldChar w:fldCharType="separate"/>
        </w:r>
        <w:r w:rsidR="004C3B7B">
          <w:rPr>
            <w:noProof/>
          </w:rPr>
          <w:t>2</w:t>
        </w:r>
        <w:r w:rsidR="004C3B7B">
          <w:rPr>
            <w:noProof/>
          </w:rPr>
          <w:fldChar w:fldCharType="end"/>
        </w:r>
      </w:sdtContent>
    </w:sdt>
  </w:p>
  <w:p w14:paraId="032EF815" w14:textId="680F1289" w:rsidR="004C3B7B" w:rsidRDefault="004C3B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8991F" w14:textId="77777777" w:rsidR="00E81B6C" w:rsidRDefault="00E81B6C" w:rsidP="00342216">
      <w:pPr>
        <w:spacing w:after="0" w:line="240" w:lineRule="auto"/>
      </w:pPr>
      <w:r>
        <w:separator/>
      </w:r>
    </w:p>
  </w:footnote>
  <w:footnote w:type="continuationSeparator" w:id="0">
    <w:p w14:paraId="66570161" w14:textId="77777777" w:rsidR="00E81B6C" w:rsidRDefault="00E81B6C" w:rsidP="00342216">
      <w:pPr>
        <w:spacing w:after="0" w:line="240" w:lineRule="auto"/>
      </w:pPr>
      <w:r>
        <w:continuationSeparator/>
      </w:r>
    </w:p>
  </w:footnote>
  <w:footnote w:type="continuationNotice" w:id="1">
    <w:p w14:paraId="5D454875" w14:textId="77777777" w:rsidR="00E81B6C" w:rsidRDefault="00E81B6C">
      <w:pPr>
        <w:spacing w:after="0" w:line="240" w:lineRule="auto"/>
      </w:pPr>
    </w:p>
  </w:footnote>
  <w:footnote w:id="2">
    <w:p w14:paraId="436058DE" w14:textId="41CD9A10" w:rsidR="004C3B7B" w:rsidRPr="008B7ABC" w:rsidRDefault="004C3B7B" w:rsidP="001C3864">
      <w:pPr>
        <w:pStyle w:val="FootnoteText"/>
      </w:pPr>
      <w:r>
        <w:rPr>
          <w:rStyle w:val="FootnoteReference"/>
        </w:rPr>
        <w:footnoteRef/>
      </w:r>
      <w:r w:rsidRPr="008B7ABC">
        <w:t xml:space="preserve"> This work has </w:t>
      </w:r>
      <w:r>
        <w:t xml:space="preserve">been developed by Ruth Llovet Montanes, </w:t>
      </w:r>
      <w:r w:rsidRPr="008B7ABC">
        <w:t>Diego Tuzman</w:t>
      </w:r>
      <w:r w:rsidR="007A70B0">
        <w:t>,</w:t>
      </w:r>
      <w:r>
        <w:t xml:space="preserve"> and </w:t>
      </w:r>
      <w:r w:rsidRPr="008B7ABC">
        <w:t>Lourdes Rodriguez-Chamussy</w:t>
      </w:r>
      <w:r w:rsidR="00F01CA8">
        <w:t xml:space="preserve"> in the Poverty and Equity Global Practice</w:t>
      </w:r>
      <w:r>
        <w:t xml:space="preserve">. The authors acknowledge helpful discussion and comments by Fernando Giuliano, Peter Siengenthaler, </w:t>
      </w:r>
      <w:r w:rsidR="00FF1478">
        <w:t xml:space="preserve">Ana María Aviles, </w:t>
      </w:r>
      <w:r>
        <w:t>Alan Fuchs</w:t>
      </w:r>
      <w:r w:rsidR="007A70B0">
        <w:t xml:space="preserve">, </w:t>
      </w:r>
      <w:r w:rsidR="00C02E27">
        <w:t xml:space="preserve">Matthew Wai-Poi, </w:t>
      </w:r>
      <w:r w:rsidR="007A70B0">
        <w:t>Jonna Lundvall,</w:t>
      </w:r>
      <w:r>
        <w:t xml:space="preserve"> and Mariano Ernesto Sosa.</w:t>
      </w:r>
      <w:r w:rsidR="00AD72F0">
        <w:t xml:space="preserve"> Preliminary </w:t>
      </w:r>
      <w:r w:rsidR="003B7D5E">
        <w:t>results were presented to the EFI teams and the PER II for Uruguay.</w:t>
      </w:r>
    </w:p>
  </w:footnote>
  <w:footnote w:id="3">
    <w:p w14:paraId="2C5E80F3" w14:textId="66CB3787" w:rsidR="006E04CF" w:rsidRPr="006E04CF" w:rsidRDefault="006E04CF">
      <w:pPr>
        <w:pStyle w:val="FootnoteText"/>
      </w:pPr>
      <w:r>
        <w:rPr>
          <w:rStyle w:val="FootnoteReference"/>
        </w:rPr>
        <w:footnoteRef/>
      </w:r>
      <w:r>
        <w:t xml:space="preserve"> </w:t>
      </w:r>
      <w:r w:rsidRPr="006E04CF">
        <w:t>Uruguay Gender Assessment</w:t>
      </w:r>
      <w:r w:rsidR="005B7E5B">
        <w:t xml:space="preserve"> </w:t>
      </w:r>
      <w:r w:rsidR="007746B5">
        <w:t>“</w:t>
      </w:r>
      <w:proofErr w:type="spellStart"/>
      <w:r w:rsidR="007746B5">
        <w:t>Jugar</w:t>
      </w:r>
      <w:proofErr w:type="spellEnd"/>
      <w:r w:rsidR="007746B5">
        <w:t xml:space="preserve"> un Partido Desigual” </w:t>
      </w:r>
      <w:r w:rsidR="005B7E5B">
        <w:t>(World Bank, 2020).</w:t>
      </w:r>
    </w:p>
  </w:footnote>
  <w:footnote w:id="4">
    <w:p w14:paraId="43BD1D19" w14:textId="74E3A5AB" w:rsidR="004C3B7B" w:rsidRPr="0094052D" w:rsidRDefault="004C3B7B" w:rsidP="00A71B24">
      <w:pPr>
        <w:rPr>
          <w:rFonts w:cstheme="minorHAnsi"/>
          <w:sz w:val="20"/>
          <w:szCs w:val="20"/>
        </w:rPr>
      </w:pPr>
      <w:r>
        <w:rPr>
          <w:rStyle w:val="FootnoteReference"/>
        </w:rPr>
        <w:footnoteRef/>
      </w:r>
      <w:r>
        <w:t xml:space="preserve"> </w:t>
      </w:r>
      <w:r w:rsidRPr="0094052D">
        <w:rPr>
          <w:rFonts w:cstheme="minorHAnsi"/>
          <w:color w:val="202124"/>
          <w:sz w:val="20"/>
          <w:szCs w:val="20"/>
          <w:shd w:val="clear" w:color="auto" w:fill="FFFFFF"/>
        </w:rPr>
        <w:t>The CEQ methodology (Lustig and Higgins</w:t>
      </w:r>
      <w:r>
        <w:rPr>
          <w:rFonts w:cstheme="minorHAnsi"/>
          <w:color w:val="202124"/>
          <w:sz w:val="20"/>
          <w:szCs w:val="20"/>
          <w:shd w:val="clear" w:color="auto" w:fill="FFFFFF"/>
        </w:rPr>
        <w:t>,</w:t>
      </w:r>
      <w:r w:rsidRPr="0094052D">
        <w:rPr>
          <w:rFonts w:cstheme="minorHAnsi"/>
          <w:color w:val="202124"/>
          <w:sz w:val="20"/>
          <w:szCs w:val="20"/>
          <w:shd w:val="clear" w:color="auto" w:fill="FFFFFF"/>
        </w:rPr>
        <w:t xml:space="preserve"> 2013) for fiscal incidence analysis consists of constructing income concepts through the allocation of taxes, social contributions, subsidies</w:t>
      </w:r>
      <w:r w:rsidR="00B71115">
        <w:rPr>
          <w:rFonts w:cstheme="minorHAnsi"/>
          <w:color w:val="202124"/>
          <w:sz w:val="20"/>
          <w:szCs w:val="20"/>
          <w:shd w:val="clear" w:color="auto" w:fill="FFFFFF"/>
        </w:rPr>
        <w:t>,</w:t>
      </w:r>
      <w:r w:rsidRPr="0094052D">
        <w:rPr>
          <w:rFonts w:cstheme="minorHAnsi"/>
          <w:color w:val="202124"/>
          <w:sz w:val="20"/>
          <w:szCs w:val="20"/>
          <w:shd w:val="clear" w:color="auto" w:fill="FFFFFF"/>
        </w:rPr>
        <w:t xml:space="preserve"> and public social spending to individuals included in a household survey in a consistent and methodologically sound way, to allow over time and cross-country comparisons.</w:t>
      </w:r>
    </w:p>
    <w:p w14:paraId="49120E11" w14:textId="77777777" w:rsidR="004C3B7B" w:rsidRPr="0094052D" w:rsidRDefault="004C3B7B" w:rsidP="00A71B24">
      <w:pPr>
        <w:pStyle w:val="FootnoteText"/>
      </w:pPr>
    </w:p>
  </w:footnote>
  <w:footnote w:id="5">
    <w:p w14:paraId="73A22491" w14:textId="0641ABC1" w:rsidR="00D55E34" w:rsidRDefault="00D55E34" w:rsidP="006A207C">
      <w:pPr>
        <w:pStyle w:val="FootnoteText"/>
      </w:pPr>
      <w:r>
        <w:rPr>
          <w:rStyle w:val="FootnoteReference"/>
        </w:rPr>
        <w:footnoteRef/>
      </w:r>
      <w:r>
        <w:t xml:space="preserve"> </w:t>
      </w:r>
      <w:r w:rsidR="00132570">
        <w:t xml:space="preserve">Following </w:t>
      </w:r>
      <w:proofErr w:type="spellStart"/>
      <w:r w:rsidR="00F872CD">
        <w:t>Cuberes</w:t>
      </w:r>
      <w:proofErr w:type="spellEnd"/>
      <w:r w:rsidR="00F872CD">
        <w:t xml:space="preserve"> and </w:t>
      </w:r>
      <w:proofErr w:type="spellStart"/>
      <w:r w:rsidR="00F872CD">
        <w:t>Tiegnier</w:t>
      </w:r>
      <w:proofErr w:type="spellEnd"/>
      <w:r w:rsidR="00F872CD">
        <w:t xml:space="preserve"> (2016)</w:t>
      </w:r>
      <w:r w:rsidR="00851C0D">
        <w:t xml:space="preserve">, the definition </w:t>
      </w:r>
      <w:r w:rsidR="005C088B">
        <w:t xml:space="preserve">of short- and long-run </w:t>
      </w:r>
      <w:r w:rsidR="009273CD">
        <w:t>is determined by</w:t>
      </w:r>
      <w:r w:rsidR="005C088B">
        <w:t xml:space="preserve"> the assumptions used in the model. I</w:t>
      </w:r>
      <w:r w:rsidR="00A542F1">
        <w:t xml:space="preserve">n the short run </w:t>
      </w:r>
      <w:r w:rsidR="006F10CF">
        <w:t xml:space="preserve">capital </w:t>
      </w:r>
      <w:r w:rsidR="003A41EF">
        <w:t>is taken as constant and</w:t>
      </w:r>
      <w:r w:rsidR="00B93188">
        <w:t xml:space="preserve"> therefore is not affected </w:t>
      </w:r>
      <w:r w:rsidR="00A96113">
        <w:t xml:space="preserve">by changes in </w:t>
      </w:r>
      <w:r w:rsidR="00E51148">
        <w:t>gender gaps, whereas</w:t>
      </w:r>
      <w:r w:rsidR="00A542F1">
        <w:t xml:space="preserve"> i</w:t>
      </w:r>
      <w:r w:rsidR="00D20619">
        <w:t>n the long</w:t>
      </w:r>
      <w:r w:rsidR="007E7774">
        <w:t xml:space="preserve"> run</w:t>
      </w:r>
      <w:r w:rsidR="00A8604D">
        <w:t xml:space="preserve"> the stock of capital is adjusted</w:t>
      </w:r>
      <w:r w:rsidR="009A3D0D">
        <w:t xml:space="preserve"> to the new productivity level</w:t>
      </w:r>
      <w:r w:rsidR="006A207C">
        <w:t>.</w:t>
      </w:r>
    </w:p>
  </w:footnote>
  <w:footnote w:id="6">
    <w:p w14:paraId="6CA342D2" w14:textId="3DECA172" w:rsidR="00BA5A0A" w:rsidRDefault="00BA5A0A" w:rsidP="00BA5A0A">
      <w:pPr>
        <w:pStyle w:val="FootnoteText"/>
      </w:pPr>
      <w:r>
        <w:rPr>
          <w:rStyle w:val="FootnoteReference"/>
        </w:rPr>
        <w:footnoteRef/>
      </w:r>
      <w:r>
        <w:t xml:space="preserve"> </w:t>
      </w:r>
      <w:r w:rsidR="00811374">
        <w:t>Although t</w:t>
      </w:r>
      <w:r>
        <w:t xml:space="preserve">he ECH survey is available for more recent years, </w:t>
      </w:r>
      <w:r w:rsidR="00811374">
        <w:t xml:space="preserve">we use </w:t>
      </w:r>
      <w:r>
        <w:t xml:space="preserve">the 2017 ECH </w:t>
      </w:r>
      <w:r w:rsidR="00811374">
        <w:t>because</w:t>
      </w:r>
      <w:r>
        <w:t xml:space="preserve"> it is the survey baseline for the most recent CEQ analysis </w:t>
      </w:r>
      <w:r w:rsidR="00544BB9">
        <w:t xml:space="preserve">published </w:t>
      </w:r>
      <w:r>
        <w:t>in Uruguay (Bucheli, Lara and Tuzman, 2020).</w:t>
      </w:r>
    </w:p>
  </w:footnote>
  <w:footnote w:id="7">
    <w:p w14:paraId="4E47556B" w14:textId="0A427A2D" w:rsidR="00BA5A0A" w:rsidRDefault="00BA5A0A" w:rsidP="00BA5A0A">
      <w:pPr>
        <w:pStyle w:val="FootnoteText"/>
      </w:pPr>
      <w:r>
        <w:rPr>
          <w:rStyle w:val="FootnoteReference"/>
        </w:rPr>
        <w:footnoteRef/>
      </w:r>
      <w:r>
        <w:t xml:space="preserve"> A threshold of 25 years of age is chosen to identify dependents, as this is the median age at which students graduate from university. We assume that individuals under age 25, even</w:t>
      </w:r>
      <w:r w:rsidR="0008744A">
        <w:t xml:space="preserve"> when</w:t>
      </w:r>
      <w:r>
        <w:t xml:space="preserve"> </w:t>
      </w:r>
      <w:r w:rsidR="0008744A">
        <w:t>having</w:t>
      </w:r>
      <w:r>
        <w:t xml:space="preserve"> part-time jobs, </w:t>
      </w:r>
      <w:r w:rsidR="0008744A">
        <w:t xml:space="preserve">they </w:t>
      </w:r>
      <w:r>
        <w:t>depend on their parents.</w:t>
      </w:r>
    </w:p>
  </w:footnote>
  <w:footnote w:id="8">
    <w:p w14:paraId="1AC530D9" w14:textId="1176A6E2" w:rsidR="004D5DF1" w:rsidRPr="004D5DF1" w:rsidRDefault="004D5DF1">
      <w:pPr>
        <w:pStyle w:val="FootnoteText"/>
      </w:pPr>
      <w:r>
        <w:rPr>
          <w:rStyle w:val="FootnoteReference"/>
        </w:rPr>
        <w:footnoteRef/>
      </w:r>
      <w:r>
        <w:t xml:space="preserve"> </w:t>
      </w:r>
      <w:r w:rsidR="00F2117E">
        <w:t xml:space="preserve">About 99 percent of couple-led households are comprised by a man and a woman. Therefore, to simplify the analysis, this paper </w:t>
      </w:r>
      <w:r w:rsidR="00153739">
        <w:t>will consider</w:t>
      </w:r>
      <w:r w:rsidR="00F2117E">
        <w:t xml:space="preserve"> couple-led households as </w:t>
      </w:r>
      <w:r w:rsidR="00314829">
        <w:t>different-sex</w:t>
      </w:r>
      <w:r w:rsidR="00F2117E">
        <w:t xml:space="preserve"> couples.</w:t>
      </w:r>
    </w:p>
  </w:footnote>
  <w:footnote w:id="9">
    <w:p w14:paraId="21A4CFB3" w14:textId="552C2F84" w:rsidR="00BA5A0A" w:rsidRDefault="00BA5A0A" w:rsidP="00BA5A0A">
      <w:pPr>
        <w:pStyle w:val="FootnoteText"/>
      </w:pPr>
      <w:r>
        <w:rPr>
          <w:rStyle w:val="FootnoteReference"/>
        </w:rPr>
        <w:footnoteRef/>
      </w:r>
      <w:r>
        <w:t xml:space="preserve"> Although this definition does not impose a direct kinship relationship between the household head and individuals under 25, in 86.2 percent of cases, individuals under age 25 are daughters/sons of the household head.</w:t>
      </w:r>
    </w:p>
  </w:footnote>
  <w:footnote w:id="10">
    <w:p w14:paraId="02BD57B7" w14:textId="25FAF56F" w:rsidR="00D23A01" w:rsidRPr="00160963" w:rsidRDefault="00D23A01" w:rsidP="00D23A01">
      <w:pPr>
        <w:pStyle w:val="FootnoteText"/>
      </w:pPr>
      <w:r>
        <w:rPr>
          <w:rStyle w:val="FootnoteReference"/>
        </w:rPr>
        <w:footnoteRef/>
      </w:r>
      <w:r>
        <w:t xml:space="preserve"> In this paper, the term </w:t>
      </w:r>
      <w:r w:rsidRPr="00D9326F">
        <w:rPr>
          <w:i/>
          <w:iCs/>
        </w:rPr>
        <w:t>children</w:t>
      </w:r>
      <w:r>
        <w:t xml:space="preserve"> </w:t>
      </w:r>
      <w:proofErr w:type="gramStart"/>
      <w:r>
        <w:t>refers</w:t>
      </w:r>
      <w:proofErr w:type="gramEnd"/>
      <w:r>
        <w:t xml:space="preserve"> to all individuals under 25 years of age, regardless </w:t>
      </w:r>
      <w:r w:rsidR="005D148A">
        <w:t xml:space="preserve">of </w:t>
      </w:r>
      <w:r>
        <w:t>their relationship with the household head.</w:t>
      </w:r>
    </w:p>
  </w:footnote>
  <w:footnote w:id="11">
    <w:p w14:paraId="17C18D46" w14:textId="319C2BFD" w:rsidR="003C04B4" w:rsidRDefault="003C04B4" w:rsidP="003C04B4">
      <w:pPr>
        <w:pStyle w:val="FootnoteText"/>
      </w:pPr>
      <w:r>
        <w:rPr>
          <w:rStyle w:val="FootnoteReference"/>
        </w:rPr>
        <w:footnoteRef/>
      </w:r>
      <w:r>
        <w:t xml:space="preserve"> About 89 percent of non-earner households are comprised of </w:t>
      </w:r>
      <w:r w:rsidR="002F50FA">
        <w:t>at least one</w:t>
      </w:r>
      <w:r>
        <w:t xml:space="preserve"> adult over 60 years of age</w:t>
      </w:r>
      <w:r w:rsidR="002F50FA">
        <w:t xml:space="preserve">. </w:t>
      </w:r>
      <w:r w:rsidR="00032880">
        <w:t>I</w:t>
      </w:r>
      <w:r>
        <w:t xml:space="preserve">n 96 percent of </w:t>
      </w:r>
      <w:r w:rsidR="00032880">
        <w:t xml:space="preserve">non-earner </w:t>
      </w:r>
      <w:r>
        <w:t>households</w:t>
      </w:r>
      <w:r w:rsidR="00032880">
        <w:t xml:space="preserve"> </w:t>
      </w:r>
      <w:r w:rsidR="00D07E9A">
        <w:t xml:space="preserve">with anyone over 60 </w:t>
      </w:r>
      <w:r w:rsidR="00032880">
        <w:t>there is at least one</w:t>
      </w:r>
      <w:r w:rsidR="0062569C">
        <w:t xml:space="preserve"> recipient of </w:t>
      </w:r>
      <w:r>
        <w:t xml:space="preserve">an old-age pension. </w:t>
      </w:r>
    </w:p>
  </w:footnote>
  <w:footnote w:id="12">
    <w:p w14:paraId="40F2FAEB" w14:textId="654DF749" w:rsidR="003D02F7" w:rsidRDefault="003D02F7" w:rsidP="00597E6F">
      <w:pPr>
        <w:pStyle w:val="FootnoteText"/>
      </w:pPr>
      <w:r>
        <w:rPr>
          <w:rStyle w:val="FootnoteReference"/>
        </w:rPr>
        <w:footnoteRef/>
      </w:r>
      <w:r>
        <w:t xml:space="preserve"> These statistics </w:t>
      </w:r>
      <w:r w:rsidR="00304D9F">
        <w:t>are</w:t>
      </w:r>
      <w:r>
        <w:t xml:space="preserve"> calculated excluding </w:t>
      </w:r>
      <w:r w:rsidR="001202AD">
        <w:t xml:space="preserve">the share of </w:t>
      </w:r>
      <w:r w:rsidR="00607386">
        <w:t>non-earner households with at least one person above 60 years of age.</w:t>
      </w:r>
    </w:p>
  </w:footnote>
  <w:footnote w:id="13">
    <w:p w14:paraId="7D9C4BFB" w14:textId="77777777" w:rsidR="003C04B4" w:rsidRDefault="003C04B4" w:rsidP="003C04B4">
      <w:pPr>
        <w:pStyle w:val="FootnoteText"/>
      </w:pPr>
      <w:r>
        <w:rPr>
          <w:rStyle w:val="FootnoteReference"/>
        </w:rPr>
        <w:footnoteRef/>
      </w:r>
      <w:r>
        <w:t xml:space="preserve"> The gender gap in labor market participation, for a given demographic category, is calculated as the difference between the share of households where at least one man works (that is, only male earners, equal earners, dual earners male-dominated, and dual earners female-dominated) and the share of households where at least one woman works (that is, only female earners and dual earners – equal, female-dominated, male-dominated).</w:t>
      </w:r>
    </w:p>
  </w:footnote>
  <w:footnote w:id="14">
    <w:p w14:paraId="701BD0FF" w14:textId="23D0CA18" w:rsidR="003C04B4" w:rsidRDefault="003C04B4" w:rsidP="003C04B4">
      <w:pPr>
        <w:pStyle w:val="FootnoteText"/>
      </w:pPr>
      <w:r>
        <w:rPr>
          <w:rStyle w:val="FootnoteReference"/>
        </w:rPr>
        <w:footnoteRef/>
      </w:r>
      <w:r>
        <w:t xml:space="preserve"> Although men remain the main earners in </w:t>
      </w:r>
      <w:r w:rsidR="009A04CD">
        <w:t xml:space="preserve">39 </w:t>
      </w:r>
      <w:r>
        <w:t xml:space="preserve">percent of households composed of a couple without children, compared to </w:t>
      </w:r>
      <w:r w:rsidR="009A04CD">
        <w:t>17 percent</w:t>
      </w:r>
      <w:r>
        <w:t xml:space="preserve"> of women, this gap is considerably larger when there are children in the household (</w:t>
      </w:r>
      <w:r w:rsidR="00A4346A">
        <w:t>68</w:t>
      </w:r>
      <w:r>
        <w:t xml:space="preserve"> percent vs. </w:t>
      </w:r>
      <w:r w:rsidR="009A04CD">
        <w:t xml:space="preserve">18 </w:t>
      </w:r>
      <w:r>
        <w:t xml:space="preserve">percent). </w:t>
      </w:r>
    </w:p>
  </w:footnote>
  <w:footnote w:id="15">
    <w:p w14:paraId="13BAE031" w14:textId="6859A32C" w:rsidR="00E876F4" w:rsidRDefault="00E876F4" w:rsidP="00BC0F9A">
      <w:pPr>
        <w:pStyle w:val="FootnoteText"/>
      </w:pPr>
      <w:r>
        <w:rPr>
          <w:rStyle w:val="FootnoteReference"/>
        </w:rPr>
        <w:footnoteRef/>
      </w:r>
      <w:r>
        <w:t xml:space="preserve"> </w:t>
      </w:r>
      <w:r w:rsidR="00EC6EAF">
        <w:t>In Annex A</w:t>
      </w:r>
      <w:r w:rsidR="003369FE">
        <w:t>, we report additional figures that show</w:t>
      </w:r>
      <w:r w:rsidR="00DF1AB7">
        <w:t xml:space="preserve"> the incidence of</w:t>
      </w:r>
      <w:r w:rsidR="003369FE">
        <w:t xml:space="preserve"> each type of fiscal intervention separately.</w:t>
      </w:r>
    </w:p>
  </w:footnote>
  <w:footnote w:id="16">
    <w:p w14:paraId="42508DAE" w14:textId="031CF4D8" w:rsidR="00B65429" w:rsidRDefault="00B65429" w:rsidP="00BC0F9A">
      <w:pPr>
        <w:pStyle w:val="FootnoteText"/>
      </w:pPr>
      <w:r>
        <w:rPr>
          <w:rStyle w:val="FootnoteReference"/>
        </w:rPr>
        <w:footnoteRef/>
      </w:r>
      <w:r>
        <w:t xml:space="preserve"> </w:t>
      </w:r>
      <w:r w:rsidR="004716B2">
        <w:t>Direct fiscal po</w:t>
      </w:r>
      <w:r w:rsidR="006B4CAA">
        <w:t>licies in Uruguay reduce inequality by about 3.2 Gini points (Bucheli</w:t>
      </w:r>
      <w:r w:rsidR="00A60060">
        <w:t>, Lara and Tuzman</w:t>
      </w:r>
      <w:r w:rsidR="006B4CAA">
        <w:t>, 2020).</w:t>
      </w:r>
    </w:p>
  </w:footnote>
  <w:footnote w:id="17">
    <w:p w14:paraId="790A8910" w14:textId="3A02C1FC" w:rsidR="00EA23B3" w:rsidRDefault="00EA23B3" w:rsidP="00BC0F9A">
      <w:pPr>
        <w:pStyle w:val="FootnoteText"/>
      </w:pPr>
      <w:r>
        <w:rPr>
          <w:rStyle w:val="FootnoteReference"/>
        </w:rPr>
        <w:footnoteRef/>
      </w:r>
      <w:r>
        <w:t xml:space="preserve"> </w:t>
      </w:r>
      <w:r w:rsidR="00BC0F9A">
        <w:t>In this paper, h</w:t>
      </w:r>
      <w:r>
        <w:t>ealth contributions include both employee and employer contributions to the national health system.</w:t>
      </w:r>
    </w:p>
  </w:footnote>
  <w:footnote w:id="18">
    <w:p w14:paraId="5F394467" w14:textId="526BC846" w:rsidR="003D7C99" w:rsidRDefault="003D7C99" w:rsidP="003D7C99">
      <w:pPr>
        <w:pStyle w:val="FootnoteText"/>
      </w:pPr>
      <w:r>
        <w:rPr>
          <w:rStyle w:val="FootnoteReference"/>
        </w:rPr>
        <w:footnoteRef/>
      </w:r>
      <w:r>
        <w:t xml:space="preserve"> Although in these </w:t>
      </w:r>
      <w:proofErr w:type="gramStart"/>
      <w:r>
        <w:t>households</w:t>
      </w:r>
      <w:proofErr w:type="gramEnd"/>
      <w:r>
        <w:t xml:space="preserve"> women do not </w:t>
      </w:r>
      <w:r w:rsidRPr="007C708C">
        <w:t>work, these benefits tend to reflect temporary situations and</w:t>
      </w:r>
      <w:r>
        <w:t xml:space="preserve"> thus it is likely that over time both members of the couple will work and the household will be </w:t>
      </w:r>
      <w:r w:rsidR="00660FE7">
        <w:t>classified</w:t>
      </w:r>
      <w:r>
        <w:t xml:space="preserve"> a</w:t>
      </w:r>
      <w:r w:rsidR="00660FE7">
        <w:t>s</w:t>
      </w:r>
      <w:r>
        <w:t xml:space="preserve"> </w:t>
      </w:r>
      <w:r w:rsidR="00BB24EF">
        <w:t>dual earner</w:t>
      </w:r>
      <w:r>
        <w:t xml:space="preserve">.   </w:t>
      </w:r>
    </w:p>
  </w:footnote>
  <w:footnote w:id="19">
    <w:p w14:paraId="631424E7" w14:textId="3E56D5A0" w:rsidR="00E50B5B" w:rsidRDefault="00E50B5B" w:rsidP="00A14930">
      <w:pPr>
        <w:pStyle w:val="FootnoteText"/>
      </w:pPr>
      <w:r>
        <w:rPr>
          <w:rStyle w:val="FootnoteReference"/>
        </w:rPr>
        <w:footnoteRef/>
      </w:r>
      <w:r>
        <w:t xml:space="preserve"> Similar results are obtained </w:t>
      </w:r>
      <w:r w:rsidR="00E94B0E">
        <w:t>when restricting the sample to the population in the third and ninth deciles of the per capita pre-fiscal income distribution.</w:t>
      </w:r>
    </w:p>
  </w:footnote>
  <w:footnote w:id="20">
    <w:p w14:paraId="302A1A02" w14:textId="28121FD6" w:rsidR="00AE04F0" w:rsidRDefault="00AE04F0">
      <w:pPr>
        <w:pStyle w:val="FootnoteText"/>
      </w:pPr>
      <w:r>
        <w:rPr>
          <w:rStyle w:val="FootnoteReference"/>
        </w:rPr>
        <w:footnoteRef/>
      </w:r>
      <w:r>
        <w:t xml:space="preserve"> This result emerges from comparing households with and without children conditional on having a similar </w:t>
      </w:r>
      <w:r w:rsidR="00DB18C5">
        <w:t>demographic and economic typology</w:t>
      </w:r>
      <w:r>
        <w:t xml:space="preserve">. That is, </w:t>
      </w:r>
      <w:r w:rsidR="00F634BD">
        <w:t xml:space="preserve">we compare (i) </w:t>
      </w:r>
      <w:r>
        <w:t>female single-person households with female single-parent households</w:t>
      </w:r>
      <w:r w:rsidR="00F634BD">
        <w:t xml:space="preserve">; (ii) </w:t>
      </w:r>
      <w:r>
        <w:t>couples with and without children where both members of the couple work</w:t>
      </w:r>
      <w:r w:rsidR="00F634BD">
        <w:t>;</w:t>
      </w:r>
      <w:r>
        <w:t xml:space="preserve"> and </w:t>
      </w:r>
      <w:r w:rsidR="00F634BD">
        <w:t xml:space="preserve">(iii) </w:t>
      </w:r>
      <w:r>
        <w:t>couple</w:t>
      </w:r>
      <w:r w:rsidR="00DB18C5">
        <w:t>s</w:t>
      </w:r>
      <w:r>
        <w:t xml:space="preserve"> with and without children where only the man works. </w:t>
      </w:r>
    </w:p>
  </w:footnote>
  <w:footnote w:id="21">
    <w:p w14:paraId="205B2276" w14:textId="3E1244B1" w:rsidR="004D19D4" w:rsidRDefault="004D19D4">
      <w:pPr>
        <w:pStyle w:val="FootnoteText"/>
      </w:pPr>
      <w:r>
        <w:rPr>
          <w:rStyle w:val="FootnoteReference"/>
        </w:rPr>
        <w:footnoteRef/>
      </w:r>
      <w:r>
        <w:t xml:space="preserve"> </w:t>
      </w:r>
      <w:r w:rsidR="00BF3625">
        <w:t xml:space="preserve">This is the </w:t>
      </w:r>
      <w:r w:rsidR="002672A5">
        <w:t xml:space="preserve">highest annual increase </w:t>
      </w:r>
      <w:r w:rsidR="001E5A79">
        <w:t xml:space="preserve">that a country in the LAC region </w:t>
      </w:r>
      <w:r w:rsidR="00DB3718">
        <w:t xml:space="preserve">has achieved </w:t>
      </w:r>
      <w:r w:rsidR="009D44C4">
        <w:t>in the recent two decades.</w:t>
      </w:r>
      <w:r w:rsidR="00557199">
        <w:t xml:space="preserve"> </w:t>
      </w:r>
      <w:r w:rsidR="00A402F3">
        <w:t>Own calculations based on WDI</w:t>
      </w:r>
      <w:r w:rsidR="00F8614E">
        <w:t>.</w:t>
      </w:r>
    </w:p>
  </w:footnote>
  <w:footnote w:id="22">
    <w:p w14:paraId="531C8627" w14:textId="5F21189B" w:rsidR="004602B2" w:rsidRDefault="004602B2" w:rsidP="004602B2">
      <w:pPr>
        <w:pStyle w:val="FootnoteText"/>
      </w:pPr>
      <w:r>
        <w:rPr>
          <w:rStyle w:val="FootnoteReference"/>
        </w:rPr>
        <w:footnoteRef/>
      </w:r>
      <w:r>
        <w:t xml:space="preserve"> We use a PMM model to predict earnings </w:t>
      </w:r>
      <w:r w:rsidR="00095B9B">
        <w:t xml:space="preserve">(instead of a Mincer regression) </w:t>
      </w:r>
      <w:r>
        <w:t xml:space="preserve">as we also need to impute the sector of employment, occupation, formality status, work hours and overtime, bonuses, and other labor market information </w:t>
      </w:r>
      <w:r w:rsidR="0073248C">
        <w:t xml:space="preserve">needed </w:t>
      </w:r>
      <w:r>
        <w:t>to correctly estimate taxes and contributions.</w:t>
      </w:r>
      <w:r w:rsidR="00F0690E">
        <w:t xml:space="preserve"> </w:t>
      </w:r>
      <w:r w:rsidR="00065629">
        <w:t xml:space="preserve">For example, the rate of social security contributions depends on the sector of employment (e.g., </w:t>
      </w:r>
      <w:proofErr w:type="spellStart"/>
      <w:r w:rsidR="00065629">
        <w:t>caja</w:t>
      </w:r>
      <w:proofErr w:type="spellEnd"/>
      <w:r w:rsidR="00065629">
        <w:t xml:space="preserve"> notarial, </w:t>
      </w:r>
      <w:proofErr w:type="spellStart"/>
      <w:r w:rsidR="00065629">
        <w:t>caja</w:t>
      </w:r>
      <w:proofErr w:type="spellEnd"/>
      <w:r w:rsidR="00065629">
        <w:t xml:space="preserve"> </w:t>
      </w:r>
      <w:proofErr w:type="spellStart"/>
      <w:r w:rsidR="001244D5">
        <w:t>bancaria</w:t>
      </w:r>
      <w:proofErr w:type="spellEnd"/>
      <w:r w:rsidR="001244D5">
        <w:t xml:space="preserve">, </w:t>
      </w:r>
      <w:proofErr w:type="spellStart"/>
      <w:r w:rsidR="0059243E">
        <w:t>caja</w:t>
      </w:r>
      <w:proofErr w:type="spellEnd"/>
      <w:r w:rsidR="0059243E">
        <w:t xml:space="preserve"> </w:t>
      </w:r>
      <w:proofErr w:type="spellStart"/>
      <w:r w:rsidR="0059243E">
        <w:t>profe</w:t>
      </w:r>
      <w:r w:rsidR="00A428A9">
        <w:t>sional</w:t>
      </w:r>
      <w:proofErr w:type="spellEnd"/>
      <w:r w:rsidR="00A428A9">
        <w:t>)</w:t>
      </w:r>
      <w:r w:rsidR="00065629">
        <w:t>.</w:t>
      </w:r>
    </w:p>
  </w:footnote>
  <w:footnote w:id="23">
    <w:p w14:paraId="52F8793B" w14:textId="6AA5139F" w:rsidR="00330305" w:rsidRDefault="00330305" w:rsidP="00330305">
      <w:pPr>
        <w:pStyle w:val="FootnoteText"/>
      </w:pPr>
      <w:r>
        <w:rPr>
          <w:rStyle w:val="FootnoteReference"/>
        </w:rPr>
        <w:footnoteRef/>
      </w:r>
      <w:r>
        <w:t xml:space="preserve"> Some potential problems associated with the PMM are: (i) duplication of the same donor value </w:t>
      </w:r>
      <w:r w:rsidR="00EF4A36">
        <w:t>multiple</w:t>
      </w:r>
      <w:r>
        <w:t xml:space="preserve"> times, which is likely to occur if the sample is small or if there are many more missing data than observed data; (ii) unreliable imputation if the number of predictors is small; </w:t>
      </w:r>
      <w:r w:rsidR="00F15368">
        <w:t xml:space="preserve">and </w:t>
      </w:r>
      <w:r>
        <w:t xml:space="preserve">(iii) </w:t>
      </w:r>
      <w:r w:rsidR="000947A2">
        <w:t>poor</w:t>
      </w:r>
      <w:r>
        <w:t xml:space="preserve"> model performance if there are strong relations in the data that are not modeled</w:t>
      </w:r>
      <w:r w:rsidR="00F15368">
        <w:t>.</w:t>
      </w:r>
    </w:p>
  </w:footnote>
  <w:footnote w:id="24">
    <w:p w14:paraId="4E3F6021" w14:textId="2A0F7994" w:rsidR="00FF111B" w:rsidRDefault="00FF111B" w:rsidP="00FF111B">
      <w:pPr>
        <w:pStyle w:val="FootnoteText"/>
      </w:pPr>
      <w:r>
        <w:rPr>
          <w:rStyle w:val="FootnoteReference"/>
        </w:rPr>
        <w:footnoteRef/>
      </w:r>
      <w:r>
        <w:t xml:space="preserve"> </w:t>
      </w:r>
      <w:r w:rsidR="009356FD">
        <w:t>Based on the</w:t>
      </w:r>
      <w:r w:rsidR="004B1A64">
        <w:t xml:space="preserve"> 2017</w:t>
      </w:r>
      <w:r w:rsidR="009356FD">
        <w:t xml:space="preserve"> ECH</w:t>
      </w:r>
      <w:r w:rsidR="00F27578">
        <w:t>,</w:t>
      </w:r>
      <w:r w:rsidR="009356FD">
        <w:t xml:space="preserve"> </w:t>
      </w:r>
      <w:r w:rsidR="00F27578">
        <w:t>w</w:t>
      </w:r>
      <w:r w:rsidR="00CC7D8F">
        <w:t xml:space="preserve">e estimate </w:t>
      </w:r>
      <w:r w:rsidR="00CC7D8F" w:rsidRPr="008552FA">
        <w:t>a</w:t>
      </w:r>
      <w:r w:rsidR="00505C90" w:rsidRPr="008552FA">
        <w:t xml:space="preserve"> </w:t>
      </w:r>
      <w:r w:rsidR="00820BD4" w:rsidRPr="008552FA">
        <w:t>43</w:t>
      </w:r>
      <w:r w:rsidR="00864769" w:rsidRPr="008552FA">
        <w:t xml:space="preserve"> </w:t>
      </w:r>
      <w:r w:rsidR="00CC7D8F" w:rsidRPr="008552FA">
        <w:t>percent</w:t>
      </w:r>
      <w:r w:rsidR="00CC7D8F">
        <w:t xml:space="preserve"> targeting </w:t>
      </w:r>
      <w:r w:rsidR="009540BC">
        <w:t>exclusion</w:t>
      </w:r>
      <w:r w:rsidR="00CC7D8F">
        <w:t xml:space="preserve"> error.</w:t>
      </w:r>
      <w:r w:rsidR="00F27578">
        <w:t xml:space="preserve"> </w:t>
      </w:r>
      <w:r w:rsidR="000C60BF">
        <w:t>This refers to</w:t>
      </w:r>
      <w:r w:rsidR="00F27578">
        <w:t xml:space="preserve"> </w:t>
      </w:r>
      <w:r w:rsidR="009540BC">
        <w:t xml:space="preserve">households </w:t>
      </w:r>
      <w:r w:rsidR="00FE6249">
        <w:t>in</w:t>
      </w:r>
      <w:r w:rsidR="007C4D31">
        <w:t xml:space="preserve"> the </w:t>
      </w:r>
      <w:r w:rsidR="008D7CD0">
        <w:t xml:space="preserve">first quintile of the </w:t>
      </w:r>
      <w:r w:rsidR="00BD10EE">
        <w:t xml:space="preserve">pre-fiscal </w:t>
      </w:r>
      <w:r w:rsidR="008D7CD0">
        <w:t xml:space="preserve">income distribution </w:t>
      </w:r>
      <w:r w:rsidR="00372695">
        <w:t>who</w:t>
      </w:r>
      <w:r w:rsidR="008D7CD0">
        <w:t xml:space="preserve"> did not receive social assistance through AFAM-PE.</w:t>
      </w:r>
      <w:r w:rsidR="00CC7D8F">
        <w:t xml:space="preserve"> </w:t>
      </w:r>
    </w:p>
  </w:footnote>
  <w:footnote w:id="25">
    <w:p w14:paraId="32F00A38" w14:textId="2B18782F" w:rsidR="00567CA6" w:rsidRDefault="00567CA6" w:rsidP="00567CA6">
      <w:pPr>
        <w:pStyle w:val="FootnoteText"/>
      </w:pPr>
      <w:r>
        <w:rPr>
          <w:rStyle w:val="FootnoteReference"/>
        </w:rPr>
        <w:footnoteRef/>
      </w:r>
      <w:r>
        <w:t xml:space="preserve"> To determine the ICC threshold, </w:t>
      </w:r>
      <w:r w:rsidR="00267841">
        <w:t>MIDES ranks</w:t>
      </w:r>
      <w:r>
        <w:t xml:space="preserve"> households in the ECH based on their pre-fiscal income per capita and </w:t>
      </w:r>
      <w:r w:rsidR="00813762">
        <w:t xml:space="preserve">sets the </w:t>
      </w:r>
      <w:r>
        <w:t xml:space="preserve">cut-off point to </w:t>
      </w:r>
      <w:r w:rsidR="00727709">
        <w:t xml:space="preserve">a level that </w:t>
      </w:r>
      <w:r>
        <w:t>ensure</w:t>
      </w:r>
      <w:r w:rsidR="00727709">
        <w:t>s</w:t>
      </w:r>
      <w:r>
        <w:t xml:space="preserve"> that the total number of beneficiaries matches with the one defined by the Law (that is, 2000,000 households in the case of AFAM-PE).</w:t>
      </w:r>
    </w:p>
  </w:footnote>
  <w:footnote w:id="26">
    <w:p w14:paraId="5C6FCDF3" w14:textId="412146E8" w:rsidR="003535CB" w:rsidRDefault="003535CB" w:rsidP="003535CB">
      <w:pPr>
        <w:pStyle w:val="FootnoteText"/>
      </w:pPr>
      <w:r w:rsidRPr="00805F9C">
        <w:rPr>
          <w:rStyle w:val="FootnoteReference"/>
        </w:rPr>
        <w:footnoteRef/>
      </w:r>
      <w:r w:rsidR="00D74A37" w:rsidRPr="00805F9C">
        <w:t xml:space="preserve"> </w:t>
      </w:r>
      <w:r w:rsidR="00773386" w:rsidRPr="00805F9C">
        <w:t xml:space="preserve">Until recently, the income threshold was not publicly available. </w:t>
      </w:r>
      <w:r w:rsidR="00773386" w:rsidRPr="003F5AA8">
        <w:t xml:space="preserve">In </w:t>
      </w:r>
      <w:r w:rsidR="00C47947" w:rsidRPr="003F5AA8">
        <w:t>2021</w:t>
      </w:r>
      <w:r w:rsidR="00773386" w:rsidRPr="003F5AA8">
        <w:t xml:space="preserve">, </w:t>
      </w:r>
      <w:r w:rsidR="00057DBA" w:rsidRPr="003F5AA8">
        <w:t xml:space="preserve">the </w:t>
      </w:r>
      <w:r w:rsidR="00773386" w:rsidRPr="003F5AA8">
        <w:t xml:space="preserve">Minister of </w:t>
      </w:r>
      <w:r w:rsidR="00057DBA" w:rsidRPr="003F5AA8">
        <w:t>Social Development, Martín Lema,</w:t>
      </w:r>
      <w:r w:rsidR="00773386" w:rsidRPr="00805F9C">
        <w:t xml:space="preserve"> </w:t>
      </w:r>
      <w:r w:rsidR="00164971" w:rsidRPr="00805F9C">
        <w:t>mentioned</w:t>
      </w:r>
      <w:r w:rsidR="00164971" w:rsidRPr="00805F9C" w:rsidDel="00C47947">
        <w:t xml:space="preserve"> </w:t>
      </w:r>
      <w:r w:rsidR="00E25883">
        <w:t xml:space="preserve">in a press conference </w:t>
      </w:r>
      <w:r w:rsidR="00C47947">
        <w:t>(</w:t>
      </w:r>
      <w:r w:rsidR="00C47947" w:rsidRPr="00C47947">
        <w:t>https://ladiaria.com.uy/politica/articulo/2021/10/gobierno-eliminara-tope-de-ingresos-para-asignaciones-familiares-durante-2022/</w:t>
      </w:r>
      <w:r w:rsidR="00C47947">
        <w:t xml:space="preserve">) </w:t>
      </w:r>
      <w:r w:rsidR="00164971" w:rsidRPr="00805F9C">
        <w:t xml:space="preserve">that the threshold was at </w:t>
      </w:r>
      <w:r w:rsidR="00057DBA" w:rsidRPr="003F5AA8">
        <w:t xml:space="preserve">11,400 </w:t>
      </w:r>
      <w:r w:rsidR="0092246E" w:rsidRPr="003F5AA8">
        <w:t>pesos</w:t>
      </w:r>
      <w:r w:rsidR="00057DBA">
        <w:t xml:space="preserve"> per capita</w:t>
      </w:r>
      <w:r w:rsidR="00164971" w:rsidRPr="00805F9C">
        <w:t xml:space="preserve">. Based on </w:t>
      </w:r>
      <w:r w:rsidR="00181D2D">
        <w:t>this</w:t>
      </w:r>
      <w:r w:rsidR="00164971" w:rsidRPr="00805F9C">
        <w:t xml:space="preserve"> information and the value of BPC in </w:t>
      </w:r>
      <w:r w:rsidR="009160B3" w:rsidRPr="003F5AA8">
        <w:t>202</w:t>
      </w:r>
      <w:r w:rsidR="00057DBA" w:rsidRPr="003F5AA8">
        <w:t>1</w:t>
      </w:r>
      <w:r w:rsidR="009160B3" w:rsidRPr="00805F9C">
        <w:t>, we calculate the number of BPC</w:t>
      </w:r>
      <w:r w:rsidR="00BD07BB" w:rsidRPr="00805F9C">
        <w:t xml:space="preserve"> </w:t>
      </w:r>
      <w:r w:rsidR="00FD7EA4" w:rsidRPr="00805F9C">
        <w:t xml:space="preserve">needed to reach </w:t>
      </w:r>
      <w:r w:rsidR="00F6600D">
        <w:t>the</w:t>
      </w:r>
      <w:r w:rsidR="00D154D3" w:rsidRPr="00805F9C">
        <w:t xml:space="preserve"> threshold</w:t>
      </w:r>
      <w:r w:rsidR="00325AF3">
        <w:t xml:space="preserve"> and assume that i</w:t>
      </w:r>
      <w:r w:rsidR="00793F2F">
        <w:t>t has remained constant over time</w:t>
      </w:r>
      <w:r w:rsidR="009160B3" w:rsidRPr="00805F9C">
        <w:t>. Then,</w:t>
      </w:r>
      <w:r w:rsidR="00793F2F">
        <w:t xml:space="preserve"> </w:t>
      </w:r>
      <w:r w:rsidR="009160B3" w:rsidRPr="00805F9C">
        <w:t xml:space="preserve">we </w:t>
      </w:r>
      <w:r w:rsidR="00D154D3" w:rsidRPr="00805F9C">
        <w:t>apply</w:t>
      </w:r>
      <w:r w:rsidR="009160B3" w:rsidRPr="00805F9C">
        <w:t xml:space="preserve"> the value of BPC</w:t>
      </w:r>
      <w:r w:rsidR="00D154D3" w:rsidRPr="00805F9C">
        <w:t xml:space="preserve"> in 2017</w:t>
      </w:r>
      <w:r w:rsidR="009160B3" w:rsidRPr="00805F9C">
        <w:t xml:space="preserve"> </w:t>
      </w:r>
      <w:r w:rsidR="007274BF" w:rsidRPr="00805F9C">
        <w:t>to estimate the income threshold in the year of the survey.</w:t>
      </w:r>
      <w:r w:rsidR="00CB6F36" w:rsidRPr="00805F9C">
        <w:t xml:space="preserve"> </w:t>
      </w:r>
      <w:r w:rsidR="00066FC6" w:rsidRPr="00805F9C">
        <w:t>We</w:t>
      </w:r>
      <w:r w:rsidR="00066FC6">
        <w:t xml:space="preserve"> find that </w:t>
      </w:r>
      <w:r w:rsidR="00091524">
        <w:t xml:space="preserve">in </w:t>
      </w:r>
      <w:r w:rsidR="00E044D5" w:rsidRPr="003F5AA8">
        <w:t>91 percent</w:t>
      </w:r>
      <w:r w:rsidR="00E044D5">
        <w:t xml:space="preserve"> of the</w:t>
      </w:r>
      <w:r w:rsidR="00091524">
        <w:t xml:space="preserve"> cases,</w:t>
      </w:r>
      <w:r w:rsidR="00E044D5">
        <w:t xml:space="preserve"> households that received assistance through the AFAM-PE program </w:t>
      </w:r>
      <w:r w:rsidR="00091524">
        <w:t>had an income per capita below the estimated threshold.</w:t>
      </w:r>
    </w:p>
  </w:footnote>
  <w:footnote w:id="27">
    <w:p w14:paraId="22614F75" w14:textId="5D7CF3D1" w:rsidR="003E0754" w:rsidRPr="00937C8C" w:rsidRDefault="003E0754" w:rsidP="001D478D">
      <w:pPr>
        <w:pStyle w:val="CommentText"/>
      </w:pPr>
      <w:r>
        <w:rPr>
          <w:rStyle w:val="FootnoteReference"/>
        </w:rPr>
        <w:footnoteRef/>
      </w:r>
      <w:r w:rsidRPr="00697239">
        <w:t xml:space="preserve"> </w:t>
      </w:r>
      <w:r w:rsidRPr="001D478D">
        <w:t xml:space="preserve">Therefore, the total number </w:t>
      </w:r>
      <w:r w:rsidR="00697239" w:rsidRPr="001D478D">
        <w:t xml:space="preserve">of beneficiary households </w:t>
      </w:r>
      <w:r w:rsidR="00697239">
        <w:t xml:space="preserve">will never increase </w:t>
      </w:r>
      <w:proofErr w:type="gramStart"/>
      <w:r w:rsidR="00697239">
        <w:t>as a result of</w:t>
      </w:r>
      <w:proofErr w:type="gramEnd"/>
      <w:r w:rsidR="00697239">
        <w:t xml:space="preserve"> the simulation, since </w:t>
      </w:r>
      <w:r w:rsidR="00937C8C">
        <w:t>households that are no longer eligible are not assumed to be substituted with new ones in the program.</w:t>
      </w:r>
    </w:p>
  </w:footnote>
  <w:footnote w:id="28">
    <w:p w14:paraId="6E82D5A2" w14:textId="3B05E65A" w:rsidR="00820FE3" w:rsidRPr="008B014A" w:rsidRDefault="00820FE3" w:rsidP="00762C18">
      <w:pPr>
        <w:pStyle w:val="FootnoteText"/>
      </w:pPr>
      <w:r>
        <w:rPr>
          <w:rStyle w:val="FootnoteReference"/>
        </w:rPr>
        <w:footnoteRef/>
      </w:r>
      <w:r w:rsidR="00940FC8">
        <w:t xml:space="preserve"> P</w:t>
      </w:r>
      <w:r w:rsidRPr="008B014A">
        <w:t>re</w:t>
      </w:r>
      <w:r>
        <w:t>-</w:t>
      </w:r>
      <w:r w:rsidRPr="008B014A">
        <w:t xml:space="preserve">fiscal </w:t>
      </w:r>
      <w:r>
        <w:t>i</w:t>
      </w:r>
      <w:r w:rsidRPr="008B014A">
        <w:t xml:space="preserve">ncome is </w:t>
      </w:r>
      <w:r>
        <w:t>defined</w:t>
      </w:r>
      <w:r w:rsidRPr="008B014A">
        <w:t xml:space="preserve"> a</w:t>
      </w:r>
      <w:r>
        <w:t>s market income plus contributory public pensions.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B5612"/>
    <w:multiLevelType w:val="hybridMultilevel"/>
    <w:tmpl w:val="59FEFC2C"/>
    <w:lvl w:ilvl="0" w:tplc="A156E41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D66F0"/>
    <w:multiLevelType w:val="hybridMultilevel"/>
    <w:tmpl w:val="0EF6647C"/>
    <w:lvl w:ilvl="0" w:tplc="88BAC7F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C64A3"/>
    <w:multiLevelType w:val="multilevel"/>
    <w:tmpl w:val="5BE84F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1DF5279"/>
    <w:multiLevelType w:val="hybridMultilevel"/>
    <w:tmpl w:val="10D64216"/>
    <w:lvl w:ilvl="0" w:tplc="243EDC60">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7434FA"/>
    <w:multiLevelType w:val="hybridMultilevel"/>
    <w:tmpl w:val="5942D2B4"/>
    <w:lvl w:ilvl="0" w:tplc="F402800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B55A21"/>
    <w:multiLevelType w:val="hybridMultilevel"/>
    <w:tmpl w:val="D3FCF4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0B1F05"/>
    <w:multiLevelType w:val="hybridMultilevel"/>
    <w:tmpl w:val="63F2A6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F16774"/>
    <w:multiLevelType w:val="hybridMultilevel"/>
    <w:tmpl w:val="11A2D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98E22AF"/>
    <w:multiLevelType w:val="hybridMultilevel"/>
    <w:tmpl w:val="7E4E0310"/>
    <w:lvl w:ilvl="0" w:tplc="A252A528">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571275"/>
    <w:multiLevelType w:val="hybridMultilevel"/>
    <w:tmpl w:val="4128F5C8"/>
    <w:lvl w:ilvl="0" w:tplc="E56635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FA7C8A"/>
    <w:multiLevelType w:val="multilevel"/>
    <w:tmpl w:val="4C5CB718"/>
    <w:lvl w:ilvl="0">
      <w:start w:val="2"/>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1864462"/>
    <w:multiLevelType w:val="hybridMultilevel"/>
    <w:tmpl w:val="E13A1DB4"/>
    <w:lvl w:ilvl="0" w:tplc="5860C226">
      <w:start w:val="1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0B4070"/>
    <w:multiLevelType w:val="hybridMultilevel"/>
    <w:tmpl w:val="C332EA12"/>
    <w:lvl w:ilvl="0" w:tplc="2CF081DE">
      <w:start w:val="30"/>
      <w:numFmt w:val="bullet"/>
      <w:lvlText w:val="-"/>
      <w:lvlJc w:val="left"/>
      <w:pPr>
        <w:ind w:left="720" w:hanging="360"/>
      </w:pPr>
      <w:rPr>
        <w:rFonts w:ascii="Calibri" w:eastAsiaTheme="minorHAns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F81569"/>
    <w:multiLevelType w:val="hybridMultilevel"/>
    <w:tmpl w:val="073E10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097A31"/>
    <w:multiLevelType w:val="hybridMultilevel"/>
    <w:tmpl w:val="9DBA78F4"/>
    <w:lvl w:ilvl="0" w:tplc="F8D6CB6C">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0F4EDB"/>
    <w:multiLevelType w:val="hybridMultilevel"/>
    <w:tmpl w:val="CF884E32"/>
    <w:lvl w:ilvl="0" w:tplc="0409000F">
      <w:start w:val="1"/>
      <w:numFmt w:val="decimal"/>
      <w:lvlText w:val="%1."/>
      <w:lvlJc w:val="left"/>
      <w:pPr>
        <w:ind w:left="43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C10C7D"/>
    <w:multiLevelType w:val="hybridMultilevel"/>
    <w:tmpl w:val="511856E0"/>
    <w:lvl w:ilvl="0" w:tplc="A254ECE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3E1AD7"/>
    <w:multiLevelType w:val="hybridMultilevel"/>
    <w:tmpl w:val="6ED4362C"/>
    <w:lvl w:ilvl="0" w:tplc="BC4E6DD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D003E9"/>
    <w:multiLevelType w:val="hybridMultilevel"/>
    <w:tmpl w:val="C0DC6FD8"/>
    <w:lvl w:ilvl="0" w:tplc="AD505F0C">
      <w:start w:val="3"/>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BA622A"/>
    <w:multiLevelType w:val="hybridMultilevel"/>
    <w:tmpl w:val="8F9A894A"/>
    <w:lvl w:ilvl="0" w:tplc="301055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C33481"/>
    <w:multiLevelType w:val="hybridMultilevel"/>
    <w:tmpl w:val="61EC0054"/>
    <w:lvl w:ilvl="0" w:tplc="41EEB760">
      <w:start w:val="1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06664A"/>
    <w:multiLevelType w:val="hybridMultilevel"/>
    <w:tmpl w:val="1F5687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5813321">
    <w:abstractNumId w:val="2"/>
  </w:num>
  <w:num w:numId="2" w16cid:durableId="381252168">
    <w:abstractNumId w:val="20"/>
  </w:num>
  <w:num w:numId="3" w16cid:durableId="161512967">
    <w:abstractNumId w:val="11"/>
  </w:num>
  <w:num w:numId="4" w16cid:durableId="501554673">
    <w:abstractNumId w:val="21"/>
  </w:num>
  <w:num w:numId="5" w16cid:durableId="204172965">
    <w:abstractNumId w:val="10"/>
  </w:num>
  <w:num w:numId="6" w16cid:durableId="635380554">
    <w:abstractNumId w:val="15"/>
  </w:num>
  <w:num w:numId="7" w16cid:durableId="975640736">
    <w:abstractNumId w:val="14"/>
  </w:num>
  <w:num w:numId="8" w16cid:durableId="1565095348">
    <w:abstractNumId w:val="19"/>
  </w:num>
  <w:num w:numId="9" w16cid:durableId="267277157">
    <w:abstractNumId w:val="18"/>
  </w:num>
  <w:num w:numId="10" w16cid:durableId="1088110820">
    <w:abstractNumId w:val="12"/>
  </w:num>
  <w:num w:numId="11" w16cid:durableId="560794959">
    <w:abstractNumId w:val="16"/>
  </w:num>
  <w:num w:numId="12" w16cid:durableId="1205099707">
    <w:abstractNumId w:val="3"/>
  </w:num>
  <w:num w:numId="13" w16cid:durableId="1814252865">
    <w:abstractNumId w:val="6"/>
  </w:num>
  <w:num w:numId="14" w16cid:durableId="1144391878">
    <w:abstractNumId w:val="4"/>
  </w:num>
  <w:num w:numId="15" w16cid:durableId="1634869060">
    <w:abstractNumId w:val="5"/>
  </w:num>
  <w:num w:numId="16" w16cid:durableId="901645278">
    <w:abstractNumId w:val="1"/>
  </w:num>
  <w:num w:numId="17" w16cid:durableId="2108454525">
    <w:abstractNumId w:val="17"/>
  </w:num>
  <w:num w:numId="18" w16cid:durableId="811288833">
    <w:abstractNumId w:val="8"/>
  </w:num>
  <w:num w:numId="19" w16cid:durableId="982202188">
    <w:abstractNumId w:val="0"/>
  </w:num>
  <w:num w:numId="20" w16cid:durableId="65300467">
    <w:abstractNumId w:val="9"/>
  </w:num>
  <w:num w:numId="21" w16cid:durableId="742920396">
    <w:abstractNumId w:val="7"/>
  </w:num>
  <w:num w:numId="22" w16cid:durableId="1491172730">
    <w:abstractNumId w:val="7"/>
  </w:num>
  <w:num w:numId="23" w16cid:durableId="19537051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216"/>
    <w:rsid w:val="00000386"/>
    <w:rsid w:val="000003E4"/>
    <w:rsid w:val="00000BD7"/>
    <w:rsid w:val="00000FC8"/>
    <w:rsid w:val="0000117A"/>
    <w:rsid w:val="00001B22"/>
    <w:rsid w:val="00001F02"/>
    <w:rsid w:val="000020FF"/>
    <w:rsid w:val="00002325"/>
    <w:rsid w:val="00002347"/>
    <w:rsid w:val="00002451"/>
    <w:rsid w:val="00002632"/>
    <w:rsid w:val="00002EA6"/>
    <w:rsid w:val="0000300F"/>
    <w:rsid w:val="00003230"/>
    <w:rsid w:val="00003283"/>
    <w:rsid w:val="00003464"/>
    <w:rsid w:val="0000372E"/>
    <w:rsid w:val="00003816"/>
    <w:rsid w:val="000039AF"/>
    <w:rsid w:val="00003B36"/>
    <w:rsid w:val="00003EAE"/>
    <w:rsid w:val="00003F44"/>
    <w:rsid w:val="000047D6"/>
    <w:rsid w:val="00004A21"/>
    <w:rsid w:val="00004C6C"/>
    <w:rsid w:val="00004E98"/>
    <w:rsid w:val="000050FC"/>
    <w:rsid w:val="000052D9"/>
    <w:rsid w:val="00005682"/>
    <w:rsid w:val="000056C8"/>
    <w:rsid w:val="000058C8"/>
    <w:rsid w:val="00005DEC"/>
    <w:rsid w:val="00006022"/>
    <w:rsid w:val="00006275"/>
    <w:rsid w:val="00006BBF"/>
    <w:rsid w:val="00006F5C"/>
    <w:rsid w:val="000070BD"/>
    <w:rsid w:val="000073A0"/>
    <w:rsid w:val="000074A8"/>
    <w:rsid w:val="000079BD"/>
    <w:rsid w:val="00007A19"/>
    <w:rsid w:val="00007C43"/>
    <w:rsid w:val="00007EE0"/>
    <w:rsid w:val="0001012B"/>
    <w:rsid w:val="000104A7"/>
    <w:rsid w:val="00010D64"/>
    <w:rsid w:val="0001126D"/>
    <w:rsid w:val="00011567"/>
    <w:rsid w:val="000115AD"/>
    <w:rsid w:val="00011B46"/>
    <w:rsid w:val="00011EA5"/>
    <w:rsid w:val="000127F2"/>
    <w:rsid w:val="00012995"/>
    <w:rsid w:val="000129DD"/>
    <w:rsid w:val="00012A6A"/>
    <w:rsid w:val="00012BED"/>
    <w:rsid w:val="00012C3F"/>
    <w:rsid w:val="00012C69"/>
    <w:rsid w:val="00013742"/>
    <w:rsid w:val="0001380A"/>
    <w:rsid w:val="00014B42"/>
    <w:rsid w:val="00015081"/>
    <w:rsid w:val="00015464"/>
    <w:rsid w:val="000155A9"/>
    <w:rsid w:val="000156F6"/>
    <w:rsid w:val="00015700"/>
    <w:rsid w:val="00015765"/>
    <w:rsid w:val="00015A0F"/>
    <w:rsid w:val="00015A92"/>
    <w:rsid w:val="00015B13"/>
    <w:rsid w:val="000161D5"/>
    <w:rsid w:val="000166EF"/>
    <w:rsid w:val="000176BA"/>
    <w:rsid w:val="000178FD"/>
    <w:rsid w:val="00017B21"/>
    <w:rsid w:val="00017DAC"/>
    <w:rsid w:val="00017F50"/>
    <w:rsid w:val="0002014C"/>
    <w:rsid w:val="000203F3"/>
    <w:rsid w:val="0002042B"/>
    <w:rsid w:val="00020721"/>
    <w:rsid w:val="00020A95"/>
    <w:rsid w:val="00020AF6"/>
    <w:rsid w:val="00020B8A"/>
    <w:rsid w:val="00020E73"/>
    <w:rsid w:val="000215F2"/>
    <w:rsid w:val="00021854"/>
    <w:rsid w:val="00021C31"/>
    <w:rsid w:val="0002242A"/>
    <w:rsid w:val="000227B3"/>
    <w:rsid w:val="00022E5D"/>
    <w:rsid w:val="0002351E"/>
    <w:rsid w:val="0002373B"/>
    <w:rsid w:val="00023A05"/>
    <w:rsid w:val="00023CDB"/>
    <w:rsid w:val="00023EF1"/>
    <w:rsid w:val="00023FBE"/>
    <w:rsid w:val="00023FC3"/>
    <w:rsid w:val="000241F9"/>
    <w:rsid w:val="00024736"/>
    <w:rsid w:val="0002488E"/>
    <w:rsid w:val="00024B4C"/>
    <w:rsid w:val="00024C44"/>
    <w:rsid w:val="00025344"/>
    <w:rsid w:val="00025ABB"/>
    <w:rsid w:val="00025D7B"/>
    <w:rsid w:val="00025ECE"/>
    <w:rsid w:val="00026D31"/>
    <w:rsid w:val="00026F84"/>
    <w:rsid w:val="00027009"/>
    <w:rsid w:val="000274E1"/>
    <w:rsid w:val="000276D0"/>
    <w:rsid w:val="00027D38"/>
    <w:rsid w:val="00027D65"/>
    <w:rsid w:val="00030147"/>
    <w:rsid w:val="00030596"/>
    <w:rsid w:val="00030657"/>
    <w:rsid w:val="0003103B"/>
    <w:rsid w:val="00031069"/>
    <w:rsid w:val="00031273"/>
    <w:rsid w:val="00031811"/>
    <w:rsid w:val="0003188E"/>
    <w:rsid w:val="00031897"/>
    <w:rsid w:val="00031B2A"/>
    <w:rsid w:val="00031BA5"/>
    <w:rsid w:val="00032125"/>
    <w:rsid w:val="00032550"/>
    <w:rsid w:val="000325B3"/>
    <w:rsid w:val="00032880"/>
    <w:rsid w:val="000329EB"/>
    <w:rsid w:val="00032E44"/>
    <w:rsid w:val="00032FC2"/>
    <w:rsid w:val="00032FF5"/>
    <w:rsid w:val="0003323F"/>
    <w:rsid w:val="0003369C"/>
    <w:rsid w:val="00033ADB"/>
    <w:rsid w:val="0003430F"/>
    <w:rsid w:val="000346ED"/>
    <w:rsid w:val="000349A1"/>
    <w:rsid w:val="00035808"/>
    <w:rsid w:val="00035F9F"/>
    <w:rsid w:val="000368ED"/>
    <w:rsid w:val="000369B2"/>
    <w:rsid w:val="00036F4D"/>
    <w:rsid w:val="0003751B"/>
    <w:rsid w:val="000377D0"/>
    <w:rsid w:val="0003788D"/>
    <w:rsid w:val="00040062"/>
    <w:rsid w:val="000403BC"/>
    <w:rsid w:val="00040C22"/>
    <w:rsid w:val="000411EC"/>
    <w:rsid w:val="00041235"/>
    <w:rsid w:val="000414DD"/>
    <w:rsid w:val="000415F7"/>
    <w:rsid w:val="0004226A"/>
    <w:rsid w:val="00042C7F"/>
    <w:rsid w:val="00042FF3"/>
    <w:rsid w:val="000433FB"/>
    <w:rsid w:val="00043834"/>
    <w:rsid w:val="0004391E"/>
    <w:rsid w:val="00044018"/>
    <w:rsid w:val="0004406A"/>
    <w:rsid w:val="00044410"/>
    <w:rsid w:val="00044944"/>
    <w:rsid w:val="00044E05"/>
    <w:rsid w:val="00044E45"/>
    <w:rsid w:val="00044E7E"/>
    <w:rsid w:val="000457A4"/>
    <w:rsid w:val="000459DF"/>
    <w:rsid w:val="00045C23"/>
    <w:rsid w:val="00045D78"/>
    <w:rsid w:val="00046061"/>
    <w:rsid w:val="00046F1D"/>
    <w:rsid w:val="0004717B"/>
    <w:rsid w:val="0004727D"/>
    <w:rsid w:val="00047616"/>
    <w:rsid w:val="00047B8D"/>
    <w:rsid w:val="000503E1"/>
    <w:rsid w:val="0005081B"/>
    <w:rsid w:val="00051872"/>
    <w:rsid w:val="00051A75"/>
    <w:rsid w:val="000521CB"/>
    <w:rsid w:val="000532FE"/>
    <w:rsid w:val="000536F3"/>
    <w:rsid w:val="00053B64"/>
    <w:rsid w:val="00053C68"/>
    <w:rsid w:val="00053EB0"/>
    <w:rsid w:val="00053F4E"/>
    <w:rsid w:val="00054BC6"/>
    <w:rsid w:val="00054DED"/>
    <w:rsid w:val="00054F3C"/>
    <w:rsid w:val="000552F3"/>
    <w:rsid w:val="00055337"/>
    <w:rsid w:val="00055540"/>
    <w:rsid w:val="00055A75"/>
    <w:rsid w:val="00056733"/>
    <w:rsid w:val="00056A33"/>
    <w:rsid w:val="00056FFA"/>
    <w:rsid w:val="000575EC"/>
    <w:rsid w:val="00057B44"/>
    <w:rsid w:val="00057DBA"/>
    <w:rsid w:val="00057F44"/>
    <w:rsid w:val="000600E7"/>
    <w:rsid w:val="000601BC"/>
    <w:rsid w:val="000602ED"/>
    <w:rsid w:val="0006047A"/>
    <w:rsid w:val="00060DFF"/>
    <w:rsid w:val="00060F88"/>
    <w:rsid w:val="0006123A"/>
    <w:rsid w:val="00061BD2"/>
    <w:rsid w:val="00061DF1"/>
    <w:rsid w:val="00061EC4"/>
    <w:rsid w:val="00062127"/>
    <w:rsid w:val="00062152"/>
    <w:rsid w:val="00062878"/>
    <w:rsid w:val="00062DA0"/>
    <w:rsid w:val="00062F71"/>
    <w:rsid w:val="000634DA"/>
    <w:rsid w:val="00064483"/>
    <w:rsid w:val="0006470E"/>
    <w:rsid w:val="000647EB"/>
    <w:rsid w:val="00064A4F"/>
    <w:rsid w:val="00064AF5"/>
    <w:rsid w:val="00064C10"/>
    <w:rsid w:val="0006522D"/>
    <w:rsid w:val="0006557E"/>
    <w:rsid w:val="0006561B"/>
    <w:rsid w:val="00065629"/>
    <w:rsid w:val="00065CC7"/>
    <w:rsid w:val="000660B7"/>
    <w:rsid w:val="00066195"/>
    <w:rsid w:val="000661A5"/>
    <w:rsid w:val="00066843"/>
    <w:rsid w:val="00066A95"/>
    <w:rsid w:val="00066BF5"/>
    <w:rsid w:val="00066DDC"/>
    <w:rsid w:val="00066DFE"/>
    <w:rsid w:val="00066FC6"/>
    <w:rsid w:val="000673EA"/>
    <w:rsid w:val="000678B5"/>
    <w:rsid w:val="0006797A"/>
    <w:rsid w:val="00067B6D"/>
    <w:rsid w:val="00070138"/>
    <w:rsid w:val="00070230"/>
    <w:rsid w:val="00070688"/>
    <w:rsid w:val="00070F0B"/>
    <w:rsid w:val="00072056"/>
    <w:rsid w:val="00072272"/>
    <w:rsid w:val="00073595"/>
    <w:rsid w:val="00073AAA"/>
    <w:rsid w:val="00073F8D"/>
    <w:rsid w:val="000740DB"/>
    <w:rsid w:val="00074A44"/>
    <w:rsid w:val="00074B56"/>
    <w:rsid w:val="00074CAE"/>
    <w:rsid w:val="000755AA"/>
    <w:rsid w:val="000757DA"/>
    <w:rsid w:val="00075820"/>
    <w:rsid w:val="00075D37"/>
    <w:rsid w:val="00076FC2"/>
    <w:rsid w:val="00077097"/>
    <w:rsid w:val="000770CE"/>
    <w:rsid w:val="00077421"/>
    <w:rsid w:val="000775C0"/>
    <w:rsid w:val="00077823"/>
    <w:rsid w:val="00077D28"/>
    <w:rsid w:val="00080085"/>
    <w:rsid w:val="000801FC"/>
    <w:rsid w:val="000806F4"/>
    <w:rsid w:val="00080A1D"/>
    <w:rsid w:val="00080A58"/>
    <w:rsid w:val="00080A74"/>
    <w:rsid w:val="00080A91"/>
    <w:rsid w:val="0008121B"/>
    <w:rsid w:val="00081753"/>
    <w:rsid w:val="00081787"/>
    <w:rsid w:val="0008178D"/>
    <w:rsid w:val="0008185C"/>
    <w:rsid w:val="00082065"/>
    <w:rsid w:val="000827E1"/>
    <w:rsid w:val="00082A39"/>
    <w:rsid w:val="00082AD5"/>
    <w:rsid w:val="00082C50"/>
    <w:rsid w:val="00082E4B"/>
    <w:rsid w:val="00082FF8"/>
    <w:rsid w:val="00083046"/>
    <w:rsid w:val="000834B8"/>
    <w:rsid w:val="00084444"/>
    <w:rsid w:val="00084446"/>
    <w:rsid w:val="00084539"/>
    <w:rsid w:val="000849EF"/>
    <w:rsid w:val="00084BDE"/>
    <w:rsid w:val="00084CAE"/>
    <w:rsid w:val="00084CDE"/>
    <w:rsid w:val="0008513B"/>
    <w:rsid w:val="00085272"/>
    <w:rsid w:val="00085315"/>
    <w:rsid w:val="000855D0"/>
    <w:rsid w:val="000855FB"/>
    <w:rsid w:val="00085647"/>
    <w:rsid w:val="0008598B"/>
    <w:rsid w:val="00085A2C"/>
    <w:rsid w:val="00086200"/>
    <w:rsid w:val="000863E3"/>
    <w:rsid w:val="000864EB"/>
    <w:rsid w:val="000868ED"/>
    <w:rsid w:val="000871B3"/>
    <w:rsid w:val="000871E4"/>
    <w:rsid w:val="00087228"/>
    <w:rsid w:val="00087382"/>
    <w:rsid w:val="0008744A"/>
    <w:rsid w:val="00087B5D"/>
    <w:rsid w:val="00087C62"/>
    <w:rsid w:val="00091034"/>
    <w:rsid w:val="000911AF"/>
    <w:rsid w:val="00091524"/>
    <w:rsid w:val="00091597"/>
    <w:rsid w:val="00091771"/>
    <w:rsid w:val="00091C00"/>
    <w:rsid w:val="000927E2"/>
    <w:rsid w:val="00093139"/>
    <w:rsid w:val="00093151"/>
    <w:rsid w:val="0009320D"/>
    <w:rsid w:val="0009397C"/>
    <w:rsid w:val="00094427"/>
    <w:rsid w:val="0009444A"/>
    <w:rsid w:val="00094605"/>
    <w:rsid w:val="0009472F"/>
    <w:rsid w:val="000947A2"/>
    <w:rsid w:val="000948C9"/>
    <w:rsid w:val="000949C1"/>
    <w:rsid w:val="00094BD9"/>
    <w:rsid w:val="00095B9B"/>
    <w:rsid w:val="0009607F"/>
    <w:rsid w:val="00096656"/>
    <w:rsid w:val="00096876"/>
    <w:rsid w:val="000968A2"/>
    <w:rsid w:val="00096947"/>
    <w:rsid w:val="00096AA3"/>
    <w:rsid w:val="00096D96"/>
    <w:rsid w:val="000974A3"/>
    <w:rsid w:val="000979F8"/>
    <w:rsid w:val="000A00D8"/>
    <w:rsid w:val="000A01FD"/>
    <w:rsid w:val="000A07E5"/>
    <w:rsid w:val="000A0FA1"/>
    <w:rsid w:val="000A1065"/>
    <w:rsid w:val="000A11A0"/>
    <w:rsid w:val="000A131E"/>
    <w:rsid w:val="000A141A"/>
    <w:rsid w:val="000A1A80"/>
    <w:rsid w:val="000A2545"/>
    <w:rsid w:val="000A2558"/>
    <w:rsid w:val="000A26B1"/>
    <w:rsid w:val="000A2DDF"/>
    <w:rsid w:val="000A2DEC"/>
    <w:rsid w:val="000A3003"/>
    <w:rsid w:val="000A3615"/>
    <w:rsid w:val="000A3658"/>
    <w:rsid w:val="000A3805"/>
    <w:rsid w:val="000A391D"/>
    <w:rsid w:val="000A3C2F"/>
    <w:rsid w:val="000A3CB2"/>
    <w:rsid w:val="000A3DC8"/>
    <w:rsid w:val="000A4378"/>
    <w:rsid w:val="000A4696"/>
    <w:rsid w:val="000A4AC0"/>
    <w:rsid w:val="000A4C6B"/>
    <w:rsid w:val="000A4E41"/>
    <w:rsid w:val="000A4E58"/>
    <w:rsid w:val="000A62BE"/>
    <w:rsid w:val="000A6A98"/>
    <w:rsid w:val="000A6BFC"/>
    <w:rsid w:val="000A6E32"/>
    <w:rsid w:val="000A6ED7"/>
    <w:rsid w:val="000A7376"/>
    <w:rsid w:val="000A753B"/>
    <w:rsid w:val="000A7660"/>
    <w:rsid w:val="000A76A5"/>
    <w:rsid w:val="000A799F"/>
    <w:rsid w:val="000A7B29"/>
    <w:rsid w:val="000A7FCC"/>
    <w:rsid w:val="000B0F21"/>
    <w:rsid w:val="000B13B6"/>
    <w:rsid w:val="000B1546"/>
    <w:rsid w:val="000B163B"/>
    <w:rsid w:val="000B1ABC"/>
    <w:rsid w:val="000B1B8F"/>
    <w:rsid w:val="000B1C0D"/>
    <w:rsid w:val="000B21A0"/>
    <w:rsid w:val="000B23E4"/>
    <w:rsid w:val="000B2819"/>
    <w:rsid w:val="000B292E"/>
    <w:rsid w:val="000B3129"/>
    <w:rsid w:val="000B3812"/>
    <w:rsid w:val="000B3AEE"/>
    <w:rsid w:val="000B3C16"/>
    <w:rsid w:val="000B3FFF"/>
    <w:rsid w:val="000B4413"/>
    <w:rsid w:val="000B4BFD"/>
    <w:rsid w:val="000B4D20"/>
    <w:rsid w:val="000B5066"/>
    <w:rsid w:val="000B5127"/>
    <w:rsid w:val="000B5305"/>
    <w:rsid w:val="000B59A3"/>
    <w:rsid w:val="000B5A0A"/>
    <w:rsid w:val="000B6168"/>
    <w:rsid w:val="000B64EB"/>
    <w:rsid w:val="000B6C61"/>
    <w:rsid w:val="000B7B55"/>
    <w:rsid w:val="000C0397"/>
    <w:rsid w:val="000C057D"/>
    <w:rsid w:val="000C096C"/>
    <w:rsid w:val="000C0D41"/>
    <w:rsid w:val="000C14DF"/>
    <w:rsid w:val="000C19E1"/>
    <w:rsid w:val="000C1BC2"/>
    <w:rsid w:val="000C1D48"/>
    <w:rsid w:val="000C360C"/>
    <w:rsid w:val="000C368D"/>
    <w:rsid w:val="000C37DF"/>
    <w:rsid w:val="000C3829"/>
    <w:rsid w:val="000C3B43"/>
    <w:rsid w:val="000C3CE4"/>
    <w:rsid w:val="000C4404"/>
    <w:rsid w:val="000C4AA4"/>
    <w:rsid w:val="000C4ACB"/>
    <w:rsid w:val="000C4D91"/>
    <w:rsid w:val="000C5BC7"/>
    <w:rsid w:val="000C5BFD"/>
    <w:rsid w:val="000C5F96"/>
    <w:rsid w:val="000C6044"/>
    <w:rsid w:val="000C60BF"/>
    <w:rsid w:val="000C6B33"/>
    <w:rsid w:val="000C70A3"/>
    <w:rsid w:val="000C73A0"/>
    <w:rsid w:val="000C77CC"/>
    <w:rsid w:val="000C7D6B"/>
    <w:rsid w:val="000D004A"/>
    <w:rsid w:val="000D037A"/>
    <w:rsid w:val="000D03F7"/>
    <w:rsid w:val="000D09FA"/>
    <w:rsid w:val="000D0EBA"/>
    <w:rsid w:val="000D0FC1"/>
    <w:rsid w:val="000D1268"/>
    <w:rsid w:val="000D1317"/>
    <w:rsid w:val="000D1575"/>
    <w:rsid w:val="000D1864"/>
    <w:rsid w:val="000D193D"/>
    <w:rsid w:val="000D1A9A"/>
    <w:rsid w:val="000D1ABF"/>
    <w:rsid w:val="000D1E29"/>
    <w:rsid w:val="000D1F62"/>
    <w:rsid w:val="000D20E6"/>
    <w:rsid w:val="000D21C3"/>
    <w:rsid w:val="000D2251"/>
    <w:rsid w:val="000D2330"/>
    <w:rsid w:val="000D3CB1"/>
    <w:rsid w:val="000D3E29"/>
    <w:rsid w:val="000D4380"/>
    <w:rsid w:val="000D4455"/>
    <w:rsid w:val="000D49BB"/>
    <w:rsid w:val="000D50A9"/>
    <w:rsid w:val="000D53EF"/>
    <w:rsid w:val="000D5868"/>
    <w:rsid w:val="000D59B2"/>
    <w:rsid w:val="000D5BC1"/>
    <w:rsid w:val="000D5E9B"/>
    <w:rsid w:val="000D5F61"/>
    <w:rsid w:val="000D61EA"/>
    <w:rsid w:val="000D6252"/>
    <w:rsid w:val="000D6565"/>
    <w:rsid w:val="000D66A2"/>
    <w:rsid w:val="000D6B26"/>
    <w:rsid w:val="000D7177"/>
    <w:rsid w:val="000D730D"/>
    <w:rsid w:val="000D791E"/>
    <w:rsid w:val="000D792A"/>
    <w:rsid w:val="000E0227"/>
    <w:rsid w:val="000E0B70"/>
    <w:rsid w:val="000E0D42"/>
    <w:rsid w:val="000E118C"/>
    <w:rsid w:val="000E1705"/>
    <w:rsid w:val="000E236C"/>
    <w:rsid w:val="000E244F"/>
    <w:rsid w:val="000E24C3"/>
    <w:rsid w:val="000E28C5"/>
    <w:rsid w:val="000E29EA"/>
    <w:rsid w:val="000E2A78"/>
    <w:rsid w:val="000E2F73"/>
    <w:rsid w:val="000E3104"/>
    <w:rsid w:val="000E31B2"/>
    <w:rsid w:val="000E34CD"/>
    <w:rsid w:val="000E35DC"/>
    <w:rsid w:val="000E4092"/>
    <w:rsid w:val="000E40A4"/>
    <w:rsid w:val="000E40B9"/>
    <w:rsid w:val="000E45DC"/>
    <w:rsid w:val="000E4919"/>
    <w:rsid w:val="000E4C2A"/>
    <w:rsid w:val="000E553E"/>
    <w:rsid w:val="000E5617"/>
    <w:rsid w:val="000E569B"/>
    <w:rsid w:val="000E5A6F"/>
    <w:rsid w:val="000E5D2E"/>
    <w:rsid w:val="000E6071"/>
    <w:rsid w:val="000E64B8"/>
    <w:rsid w:val="000E662E"/>
    <w:rsid w:val="000E6BD8"/>
    <w:rsid w:val="000E70D5"/>
    <w:rsid w:val="000E72EF"/>
    <w:rsid w:val="000E75A9"/>
    <w:rsid w:val="000E769D"/>
    <w:rsid w:val="000E7A27"/>
    <w:rsid w:val="000F0901"/>
    <w:rsid w:val="000F099D"/>
    <w:rsid w:val="000F1678"/>
    <w:rsid w:val="000F24E1"/>
    <w:rsid w:val="000F24E7"/>
    <w:rsid w:val="000F27F4"/>
    <w:rsid w:val="000F291A"/>
    <w:rsid w:val="000F2F7E"/>
    <w:rsid w:val="000F31C4"/>
    <w:rsid w:val="000F3965"/>
    <w:rsid w:val="000F3BE7"/>
    <w:rsid w:val="000F3D5A"/>
    <w:rsid w:val="000F43D3"/>
    <w:rsid w:val="000F4579"/>
    <w:rsid w:val="000F4637"/>
    <w:rsid w:val="000F475C"/>
    <w:rsid w:val="000F4A32"/>
    <w:rsid w:val="000F4AD0"/>
    <w:rsid w:val="000F4C69"/>
    <w:rsid w:val="000F4F23"/>
    <w:rsid w:val="000F5006"/>
    <w:rsid w:val="000F53F6"/>
    <w:rsid w:val="000F55E2"/>
    <w:rsid w:val="000F57D0"/>
    <w:rsid w:val="000F59F6"/>
    <w:rsid w:val="000F5CBC"/>
    <w:rsid w:val="000F5EC6"/>
    <w:rsid w:val="000F5F3D"/>
    <w:rsid w:val="000F60AE"/>
    <w:rsid w:val="000F744A"/>
    <w:rsid w:val="000F7924"/>
    <w:rsid w:val="000F7D81"/>
    <w:rsid w:val="001000E6"/>
    <w:rsid w:val="001004EF"/>
    <w:rsid w:val="00100719"/>
    <w:rsid w:val="0010087F"/>
    <w:rsid w:val="00100986"/>
    <w:rsid w:val="00101943"/>
    <w:rsid w:val="00102091"/>
    <w:rsid w:val="001024F0"/>
    <w:rsid w:val="00102F4D"/>
    <w:rsid w:val="00102F9A"/>
    <w:rsid w:val="001038EA"/>
    <w:rsid w:val="00103C9A"/>
    <w:rsid w:val="001041F0"/>
    <w:rsid w:val="001048AF"/>
    <w:rsid w:val="0010497F"/>
    <w:rsid w:val="0010500F"/>
    <w:rsid w:val="00105362"/>
    <w:rsid w:val="001053BF"/>
    <w:rsid w:val="001054D1"/>
    <w:rsid w:val="00105803"/>
    <w:rsid w:val="001059A3"/>
    <w:rsid w:val="001059B7"/>
    <w:rsid w:val="00106272"/>
    <w:rsid w:val="001069F8"/>
    <w:rsid w:val="00106D79"/>
    <w:rsid w:val="001071D4"/>
    <w:rsid w:val="00107287"/>
    <w:rsid w:val="00107297"/>
    <w:rsid w:val="00107B18"/>
    <w:rsid w:val="00107D89"/>
    <w:rsid w:val="00110CD7"/>
    <w:rsid w:val="0011127F"/>
    <w:rsid w:val="001114C5"/>
    <w:rsid w:val="0011153C"/>
    <w:rsid w:val="00111D79"/>
    <w:rsid w:val="00112090"/>
    <w:rsid w:val="00112718"/>
    <w:rsid w:val="00112A0B"/>
    <w:rsid w:val="00112C48"/>
    <w:rsid w:val="0011300F"/>
    <w:rsid w:val="00113026"/>
    <w:rsid w:val="001134C5"/>
    <w:rsid w:val="0011361E"/>
    <w:rsid w:val="001136E9"/>
    <w:rsid w:val="001143BC"/>
    <w:rsid w:val="00114A42"/>
    <w:rsid w:val="001159F5"/>
    <w:rsid w:val="00115C97"/>
    <w:rsid w:val="001164F3"/>
    <w:rsid w:val="00116736"/>
    <w:rsid w:val="00116FF1"/>
    <w:rsid w:val="00117110"/>
    <w:rsid w:val="00117708"/>
    <w:rsid w:val="00117F83"/>
    <w:rsid w:val="0012019E"/>
    <w:rsid w:val="001202AD"/>
    <w:rsid w:val="001202DB"/>
    <w:rsid w:val="001208BA"/>
    <w:rsid w:val="00120A6B"/>
    <w:rsid w:val="00120ABA"/>
    <w:rsid w:val="00120EA3"/>
    <w:rsid w:val="001216FE"/>
    <w:rsid w:val="00122173"/>
    <w:rsid w:val="00122207"/>
    <w:rsid w:val="00122B8A"/>
    <w:rsid w:val="00122C25"/>
    <w:rsid w:val="0012364D"/>
    <w:rsid w:val="00123ECB"/>
    <w:rsid w:val="0012422F"/>
    <w:rsid w:val="001243EE"/>
    <w:rsid w:val="001244D5"/>
    <w:rsid w:val="00124938"/>
    <w:rsid w:val="00124DD0"/>
    <w:rsid w:val="00124E7E"/>
    <w:rsid w:val="00125371"/>
    <w:rsid w:val="001261B3"/>
    <w:rsid w:val="00126200"/>
    <w:rsid w:val="0012642A"/>
    <w:rsid w:val="0012655A"/>
    <w:rsid w:val="00126789"/>
    <w:rsid w:val="00126D45"/>
    <w:rsid w:val="0012785B"/>
    <w:rsid w:val="00127900"/>
    <w:rsid w:val="00127AAB"/>
    <w:rsid w:val="00127C02"/>
    <w:rsid w:val="00130205"/>
    <w:rsid w:val="00130257"/>
    <w:rsid w:val="00130613"/>
    <w:rsid w:val="0013082C"/>
    <w:rsid w:val="001308E8"/>
    <w:rsid w:val="00130BF6"/>
    <w:rsid w:val="00130DF3"/>
    <w:rsid w:val="00130EB7"/>
    <w:rsid w:val="00131AE6"/>
    <w:rsid w:val="00131FE2"/>
    <w:rsid w:val="00132064"/>
    <w:rsid w:val="00132570"/>
    <w:rsid w:val="00132754"/>
    <w:rsid w:val="00132921"/>
    <w:rsid w:val="0013312A"/>
    <w:rsid w:val="00133BB0"/>
    <w:rsid w:val="00133F52"/>
    <w:rsid w:val="00134E63"/>
    <w:rsid w:val="0013525D"/>
    <w:rsid w:val="00135298"/>
    <w:rsid w:val="001352F3"/>
    <w:rsid w:val="001354EB"/>
    <w:rsid w:val="0013564E"/>
    <w:rsid w:val="00135BD7"/>
    <w:rsid w:val="00135EA9"/>
    <w:rsid w:val="001363F3"/>
    <w:rsid w:val="001365D7"/>
    <w:rsid w:val="001365E5"/>
    <w:rsid w:val="00136811"/>
    <w:rsid w:val="00136816"/>
    <w:rsid w:val="001368CD"/>
    <w:rsid w:val="00137209"/>
    <w:rsid w:val="00137314"/>
    <w:rsid w:val="00137346"/>
    <w:rsid w:val="001373D4"/>
    <w:rsid w:val="001373F2"/>
    <w:rsid w:val="00137450"/>
    <w:rsid w:val="001377E5"/>
    <w:rsid w:val="00137B6C"/>
    <w:rsid w:val="001400C5"/>
    <w:rsid w:val="001400CA"/>
    <w:rsid w:val="00140D22"/>
    <w:rsid w:val="00141529"/>
    <w:rsid w:val="00141DC6"/>
    <w:rsid w:val="00142087"/>
    <w:rsid w:val="001420CB"/>
    <w:rsid w:val="00142253"/>
    <w:rsid w:val="0014265D"/>
    <w:rsid w:val="0014272F"/>
    <w:rsid w:val="001427E4"/>
    <w:rsid w:val="00142CB0"/>
    <w:rsid w:val="00143353"/>
    <w:rsid w:val="00143AE8"/>
    <w:rsid w:val="001446BF"/>
    <w:rsid w:val="00144F26"/>
    <w:rsid w:val="00145347"/>
    <w:rsid w:val="001456B3"/>
    <w:rsid w:val="00145976"/>
    <w:rsid w:val="00145A19"/>
    <w:rsid w:val="00145B2F"/>
    <w:rsid w:val="00145D3E"/>
    <w:rsid w:val="00145F59"/>
    <w:rsid w:val="00145F9F"/>
    <w:rsid w:val="001461DC"/>
    <w:rsid w:val="001465EA"/>
    <w:rsid w:val="0014692A"/>
    <w:rsid w:val="001469FE"/>
    <w:rsid w:val="00146D97"/>
    <w:rsid w:val="00146FF8"/>
    <w:rsid w:val="00147034"/>
    <w:rsid w:val="0014726A"/>
    <w:rsid w:val="0014727F"/>
    <w:rsid w:val="00147AA7"/>
    <w:rsid w:val="00147B61"/>
    <w:rsid w:val="00150C42"/>
    <w:rsid w:val="00151855"/>
    <w:rsid w:val="00151876"/>
    <w:rsid w:val="00151B2A"/>
    <w:rsid w:val="00151C46"/>
    <w:rsid w:val="00151E01"/>
    <w:rsid w:val="00151EB4"/>
    <w:rsid w:val="001520AE"/>
    <w:rsid w:val="0015251F"/>
    <w:rsid w:val="00152B5C"/>
    <w:rsid w:val="00152DAD"/>
    <w:rsid w:val="00153739"/>
    <w:rsid w:val="00153A18"/>
    <w:rsid w:val="00153A27"/>
    <w:rsid w:val="00153C85"/>
    <w:rsid w:val="00153E75"/>
    <w:rsid w:val="00154259"/>
    <w:rsid w:val="001544BB"/>
    <w:rsid w:val="00154885"/>
    <w:rsid w:val="00154D57"/>
    <w:rsid w:val="0015516A"/>
    <w:rsid w:val="0015562B"/>
    <w:rsid w:val="00155903"/>
    <w:rsid w:val="00155C11"/>
    <w:rsid w:val="00155F8D"/>
    <w:rsid w:val="001560EB"/>
    <w:rsid w:val="001568E6"/>
    <w:rsid w:val="00156E4D"/>
    <w:rsid w:val="001575C7"/>
    <w:rsid w:val="0016002C"/>
    <w:rsid w:val="00160222"/>
    <w:rsid w:val="00160963"/>
    <w:rsid w:val="00160A4B"/>
    <w:rsid w:val="00160F4E"/>
    <w:rsid w:val="00161384"/>
    <w:rsid w:val="001615C1"/>
    <w:rsid w:val="001618AB"/>
    <w:rsid w:val="00161ACF"/>
    <w:rsid w:val="00161CCA"/>
    <w:rsid w:val="001624DF"/>
    <w:rsid w:val="00162762"/>
    <w:rsid w:val="001628F4"/>
    <w:rsid w:val="00162DFA"/>
    <w:rsid w:val="001632DA"/>
    <w:rsid w:val="00163397"/>
    <w:rsid w:val="001644D3"/>
    <w:rsid w:val="00164971"/>
    <w:rsid w:val="00164D28"/>
    <w:rsid w:val="00164EC6"/>
    <w:rsid w:val="00164F9B"/>
    <w:rsid w:val="0016533B"/>
    <w:rsid w:val="00165787"/>
    <w:rsid w:val="001658CB"/>
    <w:rsid w:val="00165DF5"/>
    <w:rsid w:val="00166077"/>
    <w:rsid w:val="0016658B"/>
    <w:rsid w:val="00166C2A"/>
    <w:rsid w:val="00166D13"/>
    <w:rsid w:val="00166D15"/>
    <w:rsid w:val="00166D9A"/>
    <w:rsid w:val="001673FC"/>
    <w:rsid w:val="0016742C"/>
    <w:rsid w:val="001675C3"/>
    <w:rsid w:val="001678AE"/>
    <w:rsid w:val="00167B7F"/>
    <w:rsid w:val="00167C4E"/>
    <w:rsid w:val="00167C60"/>
    <w:rsid w:val="00167DDE"/>
    <w:rsid w:val="00167F2C"/>
    <w:rsid w:val="001702FB"/>
    <w:rsid w:val="00170493"/>
    <w:rsid w:val="00170C6F"/>
    <w:rsid w:val="00171520"/>
    <w:rsid w:val="001715AA"/>
    <w:rsid w:val="00171A69"/>
    <w:rsid w:val="00171F9A"/>
    <w:rsid w:val="0017244B"/>
    <w:rsid w:val="00172E48"/>
    <w:rsid w:val="00172E6E"/>
    <w:rsid w:val="00172EBF"/>
    <w:rsid w:val="00172FD4"/>
    <w:rsid w:val="0017327D"/>
    <w:rsid w:val="00173788"/>
    <w:rsid w:val="00173FA2"/>
    <w:rsid w:val="001741D1"/>
    <w:rsid w:val="00174257"/>
    <w:rsid w:val="00174665"/>
    <w:rsid w:val="001746FA"/>
    <w:rsid w:val="0017490D"/>
    <w:rsid w:val="00174DB4"/>
    <w:rsid w:val="001753F0"/>
    <w:rsid w:val="00175C50"/>
    <w:rsid w:val="0017618D"/>
    <w:rsid w:val="00176A0E"/>
    <w:rsid w:val="00176CF6"/>
    <w:rsid w:val="00177460"/>
    <w:rsid w:val="001776F0"/>
    <w:rsid w:val="00177C8C"/>
    <w:rsid w:val="001800D5"/>
    <w:rsid w:val="00180220"/>
    <w:rsid w:val="001806FB"/>
    <w:rsid w:val="00180ECD"/>
    <w:rsid w:val="0018100E"/>
    <w:rsid w:val="0018128A"/>
    <w:rsid w:val="001814F0"/>
    <w:rsid w:val="0018162C"/>
    <w:rsid w:val="0018190B"/>
    <w:rsid w:val="00181AF8"/>
    <w:rsid w:val="00181C75"/>
    <w:rsid w:val="00181D2D"/>
    <w:rsid w:val="00181F5D"/>
    <w:rsid w:val="001820BA"/>
    <w:rsid w:val="001820F4"/>
    <w:rsid w:val="00182599"/>
    <w:rsid w:val="00182D83"/>
    <w:rsid w:val="0018301A"/>
    <w:rsid w:val="00183271"/>
    <w:rsid w:val="001834AC"/>
    <w:rsid w:val="00183582"/>
    <w:rsid w:val="00183D6E"/>
    <w:rsid w:val="001842E6"/>
    <w:rsid w:val="00184E5F"/>
    <w:rsid w:val="00184FB3"/>
    <w:rsid w:val="0018540F"/>
    <w:rsid w:val="00185C33"/>
    <w:rsid w:val="00185FE4"/>
    <w:rsid w:val="00186227"/>
    <w:rsid w:val="001864CB"/>
    <w:rsid w:val="00186639"/>
    <w:rsid w:val="001868BD"/>
    <w:rsid w:val="00186BED"/>
    <w:rsid w:val="00187401"/>
    <w:rsid w:val="00187611"/>
    <w:rsid w:val="00187778"/>
    <w:rsid w:val="00187B08"/>
    <w:rsid w:val="00190086"/>
    <w:rsid w:val="00190482"/>
    <w:rsid w:val="001904D4"/>
    <w:rsid w:val="0019091E"/>
    <w:rsid w:val="0019096C"/>
    <w:rsid w:val="00190C66"/>
    <w:rsid w:val="00190FA7"/>
    <w:rsid w:val="00191155"/>
    <w:rsid w:val="00191242"/>
    <w:rsid w:val="0019167F"/>
    <w:rsid w:val="00191B53"/>
    <w:rsid w:val="00192087"/>
    <w:rsid w:val="001927DE"/>
    <w:rsid w:val="00192E16"/>
    <w:rsid w:val="00193201"/>
    <w:rsid w:val="00193C59"/>
    <w:rsid w:val="00193DC2"/>
    <w:rsid w:val="001940C0"/>
    <w:rsid w:val="001941C6"/>
    <w:rsid w:val="0019452C"/>
    <w:rsid w:val="00194763"/>
    <w:rsid w:val="001949FE"/>
    <w:rsid w:val="00194D84"/>
    <w:rsid w:val="00195399"/>
    <w:rsid w:val="001959B3"/>
    <w:rsid w:val="00195DD8"/>
    <w:rsid w:val="00195EED"/>
    <w:rsid w:val="001962BC"/>
    <w:rsid w:val="001963D6"/>
    <w:rsid w:val="00196A3B"/>
    <w:rsid w:val="001970CF"/>
    <w:rsid w:val="0019756B"/>
    <w:rsid w:val="001A09C5"/>
    <w:rsid w:val="001A0ADC"/>
    <w:rsid w:val="001A0E3F"/>
    <w:rsid w:val="001A0E88"/>
    <w:rsid w:val="001A156B"/>
    <w:rsid w:val="001A1ACA"/>
    <w:rsid w:val="001A23D1"/>
    <w:rsid w:val="001A2544"/>
    <w:rsid w:val="001A347C"/>
    <w:rsid w:val="001A3BDC"/>
    <w:rsid w:val="001A3E27"/>
    <w:rsid w:val="001A3EBE"/>
    <w:rsid w:val="001A4028"/>
    <w:rsid w:val="001A4ECD"/>
    <w:rsid w:val="001A4FE8"/>
    <w:rsid w:val="001A5D15"/>
    <w:rsid w:val="001A5D1F"/>
    <w:rsid w:val="001A6BC4"/>
    <w:rsid w:val="001A72E6"/>
    <w:rsid w:val="001A73A9"/>
    <w:rsid w:val="001A7DE9"/>
    <w:rsid w:val="001B02C0"/>
    <w:rsid w:val="001B0B39"/>
    <w:rsid w:val="001B0B5D"/>
    <w:rsid w:val="001B0DDB"/>
    <w:rsid w:val="001B1038"/>
    <w:rsid w:val="001B166E"/>
    <w:rsid w:val="001B1859"/>
    <w:rsid w:val="001B1B0D"/>
    <w:rsid w:val="001B2132"/>
    <w:rsid w:val="001B2184"/>
    <w:rsid w:val="001B2836"/>
    <w:rsid w:val="001B2A0A"/>
    <w:rsid w:val="001B2B61"/>
    <w:rsid w:val="001B2CCF"/>
    <w:rsid w:val="001B2E8F"/>
    <w:rsid w:val="001B3D50"/>
    <w:rsid w:val="001B3DA2"/>
    <w:rsid w:val="001B438E"/>
    <w:rsid w:val="001B4752"/>
    <w:rsid w:val="001B4C66"/>
    <w:rsid w:val="001B4F0B"/>
    <w:rsid w:val="001B5617"/>
    <w:rsid w:val="001B58F6"/>
    <w:rsid w:val="001B595F"/>
    <w:rsid w:val="001B61D7"/>
    <w:rsid w:val="001B6740"/>
    <w:rsid w:val="001B6B7B"/>
    <w:rsid w:val="001B6F9F"/>
    <w:rsid w:val="001B70D8"/>
    <w:rsid w:val="001B7541"/>
    <w:rsid w:val="001B75AF"/>
    <w:rsid w:val="001B7B40"/>
    <w:rsid w:val="001B7D09"/>
    <w:rsid w:val="001C0480"/>
    <w:rsid w:val="001C0572"/>
    <w:rsid w:val="001C05CC"/>
    <w:rsid w:val="001C0811"/>
    <w:rsid w:val="001C0A5E"/>
    <w:rsid w:val="001C0C6D"/>
    <w:rsid w:val="001C0DA1"/>
    <w:rsid w:val="001C1065"/>
    <w:rsid w:val="001C15BF"/>
    <w:rsid w:val="001C1801"/>
    <w:rsid w:val="001C1846"/>
    <w:rsid w:val="001C1C7A"/>
    <w:rsid w:val="001C249E"/>
    <w:rsid w:val="001C24AA"/>
    <w:rsid w:val="001C2B40"/>
    <w:rsid w:val="001C3366"/>
    <w:rsid w:val="001C3582"/>
    <w:rsid w:val="001C3772"/>
    <w:rsid w:val="001C3864"/>
    <w:rsid w:val="001C3A07"/>
    <w:rsid w:val="001C3AF5"/>
    <w:rsid w:val="001C3E64"/>
    <w:rsid w:val="001C46A8"/>
    <w:rsid w:val="001C4865"/>
    <w:rsid w:val="001C49F5"/>
    <w:rsid w:val="001C4A70"/>
    <w:rsid w:val="001C4D90"/>
    <w:rsid w:val="001C5538"/>
    <w:rsid w:val="001C5851"/>
    <w:rsid w:val="001C5935"/>
    <w:rsid w:val="001C5F3F"/>
    <w:rsid w:val="001C65F5"/>
    <w:rsid w:val="001C6801"/>
    <w:rsid w:val="001C69B3"/>
    <w:rsid w:val="001C6CB6"/>
    <w:rsid w:val="001D059F"/>
    <w:rsid w:val="001D0EB2"/>
    <w:rsid w:val="001D0FED"/>
    <w:rsid w:val="001D1011"/>
    <w:rsid w:val="001D113F"/>
    <w:rsid w:val="001D191D"/>
    <w:rsid w:val="001D2FC4"/>
    <w:rsid w:val="001D32ED"/>
    <w:rsid w:val="001D3C6C"/>
    <w:rsid w:val="001D42EB"/>
    <w:rsid w:val="001D4716"/>
    <w:rsid w:val="001D478D"/>
    <w:rsid w:val="001D48C1"/>
    <w:rsid w:val="001D4D7F"/>
    <w:rsid w:val="001D4D91"/>
    <w:rsid w:val="001D4F55"/>
    <w:rsid w:val="001D51D5"/>
    <w:rsid w:val="001D5612"/>
    <w:rsid w:val="001D5BC9"/>
    <w:rsid w:val="001D6062"/>
    <w:rsid w:val="001D60C2"/>
    <w:rsid w:val="001D6149"/>
    <w:rsid w:val="001D63BD"/>
    <w:rsid w:val="001D6481"/>
    <w:rsid w:val="001D6A60"/>
    <w:rsid w:val="001D7004"/>
    <w:rsid w:val="001D7624"/>
    <w:rsid w:val="001D776B"/>
    <w:rsid w:val="001D7D75"/>
    <w:rsid w:val="001E0423"/>
    <w:rsid w:val="001E0B55"/>
    <w:rsid w:val="001E1515"/>
    <w:rsid w:val="001E1758"/>
    <w:rsid w:val="001E1B67"/>
    <w:rsid w:val="001E2062"/>
    <w:rsid w:val="001E2539"/>
    <w:rsid w:val="001E282F"/>
    <w:rsid w:val="001E2C49"/>
    <w:rsid w:val="001E306C"/>
    <w:rsid w:val="001E30C4"/>
    <w:rsid w:val="001E3618"/>
    <w:rsid w:val="001E3747"/>
    <w:rsid w:val="001E37E2"/>
    <w:rsid w:val="001E395F"/>
    <w:rsid w:val="001E3A65"/>
    <w:rsid w:val="001E45D3"/>
    <w:rsid w:val="001E479E"/>
    <w:rsid w:val="001E4F09"/>
    <w:rsid w:val="001E55AE"/>
    <w:rsid w:val="001E55B9"/>
    <w:rsid w:val="001E5614"/>
    <w:rsid w:val="001E5717"/>
    <w:rsid w:val="001E5766"/>
    <w:rsid w:val="001E590E"/>
    <w:rsid w:val="001E5A79"/>
    <w:rsid w:val="001E5AE6"/>
    <w:rsid w:val="001E5BDC"/>
    <w:rsid w:val="001E5D37"/>
    <w:rsid w:val="001E5E24"/>
    <w:rsid w:val="001E5E7D"/>
    <w:rsid w:val="001E6601"/>
    <w:rsid w:val="001E68EA"/>
    <w:rsid w:val="001E6907"/>
    <w:rsid w:val="001E6915"/>
    <w:rsid w:val="001E6B63"/>
    <w:rsid w:val="001E6C3B"/>
    <w:rsid w:val="001E704C"/>
    <w:rsid w:val="001E7371"/>
    <w:rsid w:val="001E73D6"/>
    <w:rsid w:val="001E7E97"/>
    <w:rsid w:val="001F02AA"/>
    <w:rsid w:val="001F0477"/>
    <w:rsid w:val="001F09A6"/>
    <w:rsid w:val="001F0A63"/>
    <w:rsid w:val="001F1B05"/>
    <w:rsid w:val="001F296B"/>
    <w:rsid w:val="001F2D3D"/>
    <w:rsid w:val="001F34FF"/>
    <w:rsid w:val="001F3561"/>
    <w:rsid w:val="001F3EB7"/>
    <w:rsid w:val="001F405B"/>
    <w:rsid w:val="001F4672"/>
    <w:rsid w:val="001F4A83"/>
    <w:rsid w:val="001F4C6C"/>
    <w:rsid w:val="001F4E75"/>
    <w:rsid w:val="001F5595"/>
    <w:rsid w:val="001F5C4D"/>
    <w:rsid w:val="001F6096"/>
    <w:rsid w:val="001F628D"/>
    <w:rsid w:val="001F6FDA"/>
    <w:rsid w:val="001F71AD"/>
    <w:rsid w:val="001F7408"/>
    <w:rsid w:val="001F76A6"/>
    <w:rsid w:val="001F77F5"/>
    <w:rsid w:val="001F7961"/>
    <w:rsid w:val="001F79C3"/>
    <w:rsid w:val="00200048"/>
    <w:rsid w:val="0020019B"/>
    <w:rsid w:val="002004C7"/>
    <w:rsid w:val="0020063C"/>
    <w:rsid w:val="002008DD"/>
    <w:rsid w:val="002010E1"/>
    <w:rsid w:val="00201376"/>
    <w:rsid w:val="00201825"/>
    <w:rsid w:val="00201856"/>
    <w:rsid w:val="00201C4F"/>
    <w:rsid w:val="00202056"/>
    <w:rsid w:val="00202B07"/>
    <w:rsid w:val="00202B18"/>
    <w:rsid w:val="00203119"/>
    <w:rsid w:val="00203624"/>
    <w:rsid w:val="0020362F"/>
    <w:rsid w:val="0020367F"/>
    <w:rsid w:val="00203935"/>
    <w:rsid w:val="002040FC"/>
    <w:rsid w:val="00204126"/>
    <w:rsid w:val="00204B25"/>
    <w:rsid w:val="00204B4D"/>
    <w:rsid w:val="00204FEE"/>
    <w:rsid w:val="00205185"/>
    <w:rsid w:val="00205555"/>
    <w:rsid w:val="00205723"/>
    <w:rsid w:val="0020601F"/>
    <w:rsid w:val="002064FF"/>
    <w:rsid w:val="002066E1"/>
    <w:rsid w:val="00206DA7"/>
    <w:rsid w:val="002070D2"/>
    <w:rsid w:val="00207822"/>
    <w:rsid w:val="002079A6"/>
    <w:rsid w:val="00207F47"/>
    <w:rsid w:val="00210808"/>
    <w:rsid w:val="00210E7D"/>
    <w:rsid w:val="00210FEF"/>
    <w:rsid w:val="00211015"/>
    <w:rsid w:val="002110B4"/>
    <w:rsid w:val="00211397"/>
    <w:rsid w:val="00211FA3"/>
    <w:rsid w:val="002125F0"/>
    <w:rsid w:val="00212637"/>
    <w:rsid w:val="002128EA"/>
    <w:rsid w:val="002129AC"/>
    <w:rsid w:val="00212B3E"/>
    <w:rsid w:val="00212E30"/>
    <w:rsid w:val="002130DF"/>
    <w:rsid w:val="002132EF"/>
    <w:rsid w:val="00213A8F"/>
    <w:rsid w:val="00213CE9"/>
    <w:rsid w:val="00213E01"/>
    <w:rsid w:val="00214576"/>
    <w:rsid w:val="00214A44"/>
    <w:rsid w:val="00214CE5"/>
    <w:rsid w:val="00215328"/>
    <w:rsid w:val="0021580F"/>
    <w:rsid w:val="00215979"/>
    <w:rsid w:val="00215A54"/>
    <w:rsid w:val="00215BC6"/>
    <w:rsid w:val="00215DEE"/>
    <w:rsid w:val="0021637C"/>
    <w:rsid w:val="002164CD"/>
    <w:rsid w:val="0021714F"/>
    <w:rsid w:val="0021755F"/>
    <w:rsid w:val="0021761A"/>
    <w:rsid w:val="002177A2"/>
    <w:rsid w:val="00217873"/>
    <w:rsid w:val="00217AA0"/>
    <w:rsid w:val="00220D42"/>
    <w:rsid w:val="0022114C"/>
    <w:rsid w:val="002214D4"/>
    <w:rsid w:val="00221546"/>
    <w:rsid w:val="002219F5"/>
    <w:rsid w:val="00221A9F"/>
    <w:rsid w:val="00221B03"/>
    <w:rsid w:val="002220BC"/>
    <w:rsid w:val="002220D7"/>
    <w:rsid w:val="002223C8"/>
    <w:rsid w:val="002226CB"/>
    <w:rsid w:val="002233AC"/>
    <w:rsid w:val="002236A0"/>
    <w:rsid w:val="0022383B"/>
    <w:rsid w:val="0022392D"/>
    <w:rsid w:val="00223FFA"/>
    <w:rsid w:val="00224473"/>
    <w:rsid w:val="00224542"/>
    <w:rsid w:val="002254F8"/>
    <w:rsid w:val="00225603"/>
    <w:rsid w:val="002256AD"/>
    <w:rsid w:val="00225BEA"/>
    <w:rsid w:val="00225D69"/>
    <w:rsid w:val="00226249"/>
    <w:rsid w:val="002262AC"/>
    <w:rsid w:val="002263F3"/>
    <w:rsid w:val="002267C8"/>
    <w:rsid w:val="00226B00"/>
    <w:rsid w:val="002275BD"/>
    <w:rsid w:val="002277CF"/>
    <w:rsid w:val="00227AD3"/>
    <w:rsid w:val="00227B4E"/>
    <w:rsid w:val="0023026F"/>
    <w:rsid w:val="0023033E"/>
    <w:rsid w:val="00230561"/>
    <w:rsid w:val="00230D04"/>
    <w:rsid w:val="00230F6C"/>
    <w:rsid w:val="00231249"/>
    <w:rsid w:val="00231378"/>
    <w:rsid w:val="002313BC"/>
    <w:rsid w:val="002318A4"/>
    <w:rsid w:val="00231B66"/>
    <w:rsid w:val="00231BD8"/>
    <w:rsid w:val="002320B9"/>
    <w:rsid w:val="002322A5"/>
    <w:rsid w:val="002322F0"/>
    <w:rsid w:val="00232462"/>
    <w:rsid w:val="002327A1"/>
    <w:rsid w:val="0023287E"/>
    <w:rsid w:val="00232996"/>
    <w:rsid w:val="00232DBF"/>
    <w:rsid w:val="00233144"/>
    <w:rsid w:val="002335A8"/>
    <w:rsid w:val="00233E8A"/>
    <w:rsid w:val="00233F84"/>
    <w:rsid w:val="0023409A"/>
    <w:rsid w:val="0023454C"/>
    <w:rsid w:val="00234DD9"/>
    <w:rsid w:val="0023508D"/>
    <w:rsid w:val="002353CB"/>
    <w:rsid w:val="00235502"/>
    <w:rsid w:val="00235522"/>
    <w:rsid w:val="0023598F"/>
    <w:rsid w:val="0023605C"/>
    <w:rsid w:val="0023609F"/>
    <w:rsid w:val="00236190"/>
    <w:rsid w:val="0023644E"/>
    <w:rsid w:val="00236C2D"/>
    <w:rsid w:val="00236F7F"/>
    <w:rsid w:val="002371A3"/>
    <w:rsid w:val="0024046B"/>
    <w:rsid w:val="002405AA"/>
    <w:rsid w:val="00240A51"/>
    <w:rsid w:val="00240F16"/>
    <w:rsid w:val="00241D74"/>
    <w:rsid w:val="002423B8"/>
    <w:rsid w:val="002427BB"/>
    <w:rsid w:val="002429BB"/>
    <w:rsid w:val="00242B0E"/>
    <w:rsid w:val="00242C27"/>
    <w:rsid w:val="00242DD6"/>
    <w:rsid w:val="00242EAB"/>
    <w:rsid w:val="00242F43"/>
    <w:rsid w:val="002434DD"/>
    <w:rsid w:val="002438F2"/>
    <w:rsid w:val="00243994"/>
    <w:rsid w:val="00243B8C"/>
    <w:rsid w:val="00243D9C"/>
    <w:rsid w:val="00243EE7"/>
    <w:rsid w:val="0024418C"/>
    <w:rsid w:val="002443D0"/>
    <w:rsid w:val="00244B09"/>
    <w:rsid w:val="0024503C"/>
    <w:rsid w:val="00245101"/>
    <w:rsid w:val="002451B2"/>
    <w:rsid w:val="002457E7"/>
    <w:rsid w:val="00245B31"/>
    <w:rsid w:val="00245C02"/>
    <w:rsid w:val="002460C7"/>
    <w:rsid w:val="0024618C"/>
    <w:rsid w:val="0024620F"/>
    <w:rsid w:val="00246467"/>
    <w:rsid w:val="002465B9"/>
    <w:rsid w:val="00246688"/>
    <w:rsid w:val="00246BB7"/>
    <w:rsid w:val="00247408"/>
    <w:rsid w:val="0024773B"/>
    <w:rsid w:val="00247757"/>
    <w:rsid w:val="00247992"/>
    <w:rsid w:val="00247C5C"/>
    <w:rsid w:val="00247DD5"/>
    <w:rsid w:val="0025013F"/>
    <w:rsid w:val="00250207"/>
    <w:rsid w:val="00251041"/>
    <w:rsid w:val="00251267"/>
    <w:rsid w:val="00251A6F"/>
    <w:rsid w:val="00251EB4"/>
    <w:rsid w:val="00251EB5"/>
    <w:rsid w:val="002524ED"/>
    <w:rsid w:val="00252805"/>
    <w:rsid w:val="00252D7F"/>
    <w:rsid w:val="00252DEF"/>
    <w:rsid w:val="002542D8"/>
    <w:rsid w:val="00254363"/>
    <w:rsid w:val="002544AA"/>
    <w:rsid w:val="00255000"/>
    <w:rsid w:val="002550B0"/>
    <w:rsid w:val="0025566D"/>
    <w:rsid w:val="002558E6"/>
    <w:rsid w:val="00255EEE"/>
    <w:rsid w:val="00256667"/>
    <w:rsid w:val="002570B0"/>
    <w:rsid w:val="00260360"/>
    <w:rsid w:val="002612AA"/>
    <w:rsid w:val="00261370"/>
    <w:rsid w:val="0026141A"/>
    <w:rsid w:val="0026147C"/>
    <w:rsid w:val="0026161A"/>
    <w:rsid w:val="00261A6C"/>
    <w:rsid w:val="00261D52"/>
    <w:rsid w:val="002626FC"/>
    <w:rsid w:val="00262745"/>
    <w:rsid w:val="00262A1C"/>
    <w:rsid w:val="00262CE2"/>
    <w:rsid w:val="00262DF6"/>
    <w:rsid w:val="00263030"/>
    <w:rsid w:val="002633EF"/>
    <w:rsid w:val="002639FE"/>
    <w:rsid w:val="002646EF"/>
    <w:rsid w:val="00264D03"/>
    <w:rsid w:val="0026558D"/>
    <w:rsid w:val="00265617"/>
    <w:rsid w:val="00265668"/>
    <w:rsid w:val="002660EB"/>
    <w:rsid w:val="002663AB"/>
    <w:rsid w:val="002667FF"/>
    <w:rsid w:val="00266B02"/>
    <w:rsid w:val="002672A5"/>
    <w:rsid w:val="002674FC"/>
    <w:rsid w:val="00267841"/>
    <w:rsid w:val="002678EB"/>
    <w:rsid w:val="00267AD3"/>
    <w:rsid w:val="00267BE2"/>
    <w:rsid w:val="00267DED"/>
    <w:rsid w:val="00267EA4"/>
    <w:rsid w:val="002701AE"/>
    <w:rsid w:val="0027040E"/>
    <w:rsid w:val="002704A1"/>
    <w:rsid w:val="002704A7"/>
    <w:rsid w:val="00270C70"/>
    <w:rsid w:val="0027168B"/>
    <w:rsid w:val="00271776"/>
    <w:rsid w:val="00271792"/>
    <w:rsid w:val="00271890"/>
    <w:rsid w:val="00271E83"/>
    <w:rsid w:val="00271F1F"/>
    <w:rsid w:val="00273733"/>
    <w:rsid w:val="00273A3F"/>
    <w:rsid w:val="00273BDA"/>
    <w:rsid w:val="00274752"/>
    <w:rsid w:val="002749AB"/>
    <w:rsid w:val="00274B3E"/>
    <w:rsid w:val="00274EA6"/>
    <w:rsid w:val="00274FEF"/>
    <w:rsid w:val="002757FC"/>
    <w:rsid w:val="002768ED"/>
    <w:rsid w:val="00276A1A"/>
    <w:rsid w:val="00276BA6"/>
    <w:rsid w:val="00276E00"/>
    <w:rsid w:val="00276F82"/>
    <w:rsid w:val="0027727B"/>
    <w:rsid w:val="002773AE"/>
    <w:rsid w:val="00277A07"/>
    <w:rsid w:val="002806CA"/>
    <w:rsid w:val="00280773"/>
    <w:rsid w:val="00280C7B"/>
    <w:rsid w:val="002819C3"/>
    <w:rsid w:val="0028202A"/>
    <w:rsid w:val="002823CD"/>
    <w:rsid w:val="00282901"/>
    <w:rsid w:val="00282C4B"/>
    <w:rsid w:val="00282F9F"/>
    <w:rsid w:val="002831F2"/>
    <w:rsid w:val="00283624"/>
    <w:rsid w:val="002836BC"/>
    <w:rsid w:val="002837C4"/>
    <w:rsid w:val="00283C15"/>
    <w:rsid w:val="00284B3F"/>
    <w:rsid w:val="00284F17"/>
    <w:rsid w:val="00285047"/>
    <w:rsid w:val="0028511C"/>
    <w:rsid w:val="00285797"/>
    <w:rsid w:val="00285981"/>
    <w:rsid w:val="0028620D"/>
    <w:rsid w:val="00286433"/>
    <w:rsid w:val="0028656F"/>
    <w:rsid w:val="00287232"/>
    <w:rsid w:val="0028731D"/>
    <w:rsid w:val="002876B6"/>
    <w:rsid w:val="002877B9"/>
    <w:rsid w:val="002879E3"/>
    <w:rsid w:val="00287C08"/>
    <w:rsid w:val="00290068"/>
    <w:rsid w:val="00290285"/>
    <w:rsid w:val="0029063D"/>
    <w:rsid w:val="00290CD9"/>
    <w:rsid w:val="0029110A"/>
    <w:rsid w:val="002911C8"/>
    <w:rsid w:val="00291405"/>
    <w:rsid w:val="00291407"/>
    <w:rsid w:val="00291659"/>
    <w:rsid w:val="00291A08"/>
    <w:rsid w:val="00291FE6"/>
    <w:rsid w:val="002925D4"/>
    <w:rsid w:val="0029298E"/>
    <w:rsid w:val="00292A06"/>
    <w:rsid w:val="00292B38"/>
    <w:rsid w:val="00292B92"/>
    <w:rsid w:val="00292C4D"/>
    <w:rsid w:val="00292F67"/>
    <w:rsid w:val="002933DC"/>
    <w:rsid w:val="00293864"/>
    <w:rsid w:val="00293BB4"/>
    <w:rsid w:val="002944AC"/>
    <w:rsid w:val="002945E5"/>
    <w:rsid w:val="002946E5"/>
    <w:rsid w:val="00294B07"/>
    <w:rsid w:val="00294F37"/>
    <w:rsid w:val="0029551D"/>
    <w:rsid w:val="00295524"/>
    <w:rsid w:val="0029595E"/>
    <w:rsid w:val="00295ADB"/>
    <w:rsid w:val="00295BC7"/>
    <w:rsid w:val="002960EC"/>
    <w:rsid w:val="00296496"/>
    <w:rsid w:val="00296ECA"/>
    <w:rsid w:val="0029705A"/>
    <w:rsid w:val="0029712C"/>
    <w:rsid w:val="00297639"/>
    <w:rsid w:val="002977AF"/>
    <w:rsid w:val="00297920"/>
    <w:rsid w:val="002A0269"/>
    <w:rsid w:val="002A0728"/>
    <w:rsid w:val="002A0779"/>
    <w:rsid w:val="002A08C4"/>
    <w:rsid w:val="002A0D40"/>
    <w:rsid w:val="002A0FF6"/>
    <w:rsid w:val="002A1346"/>
    <w:rsid w:val="002A13E3"/>
    <w:rsid w:val="002A152E"/>
    <w:rsid w:val="002A1875"/>
    <w:rsid w:val="002A1EFC"/>
    <w:rsid w:val="002A23F1"/>
    <w:rsid w:val="002A277A"/>
    <w:rsid w:val="002A28C9"/>
    <w:rsid w:val="002A2D20"/>
    <w:rsid w:val="002A2DEB"/>
    <w:rsid w:val="002A3046"/>
    <w:rsid w:val="002A3199"/>
    <w:rsid w:val="002A35C0"/>
    <w:rsid w:val="002A3673"/>
    <w:rsid w:val="002A3D62"/>
    <w:rsid w:val="002A42A3"/>
    <w:rsid w:val="002A4478"/>
    <w:rsid w:val="002A4625"/>
    <w:rsid w:val="002A4988"/>
    <w:rsid w:val="002A4C22"/>
    <w:rsid w:val="002A5158"/>
    <w:rsid w:val="002A5193"/>
    <w:rsid w:val="002A5496"/>
    <w:rsid w:val="002A57C0"/>
    <w:rsid w:val="002A6088"/>
    <w:rsid w:val="002A68B2"/>
    <w:rsid w:val="002A6DE9"/>
    <w:rsid w:val="002A6E22"/>
    <w:rsid w:val="002A727E"/>
    <w:rsid w:val="002A75C3"/>
    <w:rsid w:val="002A7987"/>
    <w:rsid w:val="002A7BC0"/>
    <w:rsid w:val="002A7C7C"/>
    <w:rsid w:val="002A7DDC"/>
    <w:rsid w:val="002B06F6"/>
    <w:rsid w:val="002B0A9E"/>
    <w:rsid w:val="002B0AC8"/>
    <w:rsid w:val="002B0C49"/>
    <w:rsid w:val="002B0EC3"/>
    <w:rsid w:val="002B0FA5"/>
    <w:rsid w:val="002B0FC6"/>
    <w:rsid w:val="002B1106"/>
    <w:rsid w:val="002B1944"/>
    <w:rsid w:val="002B19AD"/>
    <w:rsid w:val="002B1A05"/>
    <w:rsid w:val="002B1F69"/>
    <w:rsid w:val="002B205D"/>
    <w:rsid w:val="002B21EF"/>
    <w:rsid w:val="002B2327"/>
    <w:rsid w:val="002B234C"/>
    <w:rsid w:val="002B2509"/>
    <w:rsid w:val="002B2F13"/>
    <w:rsid w:val="002B3184"/>
    <w:rsid w:val="002B3A92"/>
    <w:rsid w:val="002B402F"/>
    <w:rsid w:val="002B43BB"/>
    <w:rsid w:val="002B47F0"/>
    <w:rsid w:val="002B4BF4"/>
    <w:rsid w:val="002B4CDF"/>
    <w:rsid w:val="002B501F"/>
    <w:rsid w:val="002B508F"/>
    <w:rsid w:val="002B513B"/>
    <w:rsid w:val="002B53B3"/>
    <w:rsid w:val="002B5456"/>
    <w:rsid w:val="002B5468"/>
    <w:rsid w:val="002B62A6"/>
    <w:rsid w:val="002B6744"/>
    <w:rsid w:val="002B67BB"/>
    <w:rsid w:val="002B6874"/>
    <w:rsid w:val="002B69EC"/>
    <w:rsid w:val="002B6AF7"/>
    <w:rsid w:val="002B6DB3"/>
    <w:rsid w:val="002B7984"/>
    <w:rsid w:val="002B7E42"/>
    <w:rsid w:val="002C01D9"/>
    <w:rsid w:val="002C0355"/>
    <w:rsid w:val="002C0691"/>
    <w:rsid w:val="002C0929"/>
    <w:rsid w:val="002C1280"/>
    <w:rsid w:val="002C148C"/>
    <w:rsid w:val="002C1755"/>
    <w:rsid w:val="002C1A51"/>
    <w:rsid w:val="002C1C48"/>
    <w:rsid w:val="002C1C8E"/>
    <w:rsid w:val="002C1E48"/>
    <w:rsid w:val="002C2DBE"/>
    <w:rsid w:val="002C2E0B"/>
    <w:rsid w:val="002C2FF0"/>
    <w:rsid w:val="002C31DA"/>
    <w:rsid w:val="002C3AF0"/>
    <w:rsid w:val="002C41FB"/>
    <w:rsid w:val="002C455E"/>
    <w:rsid w:val="002C45C4"/>
    <w:rsid w:val="002C489B"/>
    <w:rsid w:val="002C4A92"/>
    <w:rsid w:val="002C4AA3"/>
    <w:rsid w:val="002C538D"/>
    <w:rsid w:val="002C55E4"/>
    <w:rsid w:val="002C5863"/>
    <w:rsid w:val="002C58D7"/>
    <w:rsid w:val="002C5A76"/>
    <w:rsid w:val="002C5C8F"/>
    <w:rsid w:val="002C5E35"/>
    <w:rsid w:val="002C606F"/>
    <w:rsid w:val="002C611A"/>
    <w:rsid w:val="002C62D5"/>
    <w:rsid w:val="002C6336"/>
    <w:rsid w:val="002C6447"/>
    <w:rsid w:val="002C664E"/>
    <w:rsid w:val="002C6801"/>
    <w:rsid w:val="002C695E"/>
    <w:rsid w:val="002C6EC9"/>
    <w:rsid w:val="002C7160"/>
    <w:rsid w:val="002C7750"/>
    <w:rsid w:val="002C795F"/>
    <w:rsid w:val="002C7F3F"/>
    <w:rsid w:val="002C7FAD"/>
    <w:rsid w:val="002D0467"/>
    <w:rsid w:val="002D050E"/>
    <w:rsid w:val="002D06FC"/>
    <w:rsid w:val="002D08BD"/>
    <w:rsid w:val="002D090B"/>
    <w:rsid w:val="002D0E71"/>
    <w:rsid w:val="002D19B0"/>
    <w:rsid w:val="002D1B8E"/>
    <w:rsid w:val="002D2425"/>
    <w:rsid w:val="002D2591"/>
    <w:rsid w:val="002D26B9"/>
    <w:rsid w:val="002D2A27"/>
    <w:rsid w:val="002D2A78"/>
    <w:rsid w:val="002D3BDB"/>
    <w:rsid w:val="002D3CBA"/>
    <w:rsid w:val="002D436D"/>
    <w:rsid w:val="002D4BB5"/>
    <w:rsid w:val="002D590A"/>
    <w:rsid w:val="002D7937"/>
    <w:rsid w:val="002D79C5"/>
    <w:rsid w:val="002D7AA4"/>
    <w:rsid w:val="002D7ACE"/>
    <w:rsid w:val="002D7C9D"/>
    <w:rsid w:val="002D7FC1"/>
    <w:rsid w:val="002D7FD3"/>
    <w:rsid w:val="002E017B"/>
    <w:rsid w:val="002E0831"/>
    <w:rsid w:val="002E0A0D"/>
    <w:rsid w:val="002E0B78"/>
    <w:rsid w:val="002E24B8"/>
    <w:rsid w:val="002E29C5"/>
    <w:rsid w:val="002E2D88"/>
    <w:rsid w:val="002E3136"/>
    <w:rsid w:val="002E33BF"/>
    <w:rsid w:val="002E3923"/>
    <w:rsid w:val="002E3F49"/>
    <w:rsid w:val="002E4328"/>
    <w:rsid w:val="002E50C1"/>
    <w:rsid w:val="002E52C5"/>
    <w:rsid w:val="002E587E"/>
    <w:rsid w:val="002E5924"/>
    <w:rsid w:val="002E5BAF"/>
    <w:rsid w:val="002E5EBF"/>
    <w:rsid w:val="002E5FF9"/>
    <w:rsid w:val="002E60D8"/>
    <w:rsid w:val="002E6603"/>
    <w:rsid w:val="002E6604"/>
    <w:rsid w:val="002E6D64"/>
    <w:rsid w:val="002E6EA4"/>
    <w:rsid w:val="002E6F98"/>
    <w:rsid w:val="002E7017"/>
    <w:rsid w:val="002E72B6"/>
    <w:rsid w:val="002E7F3C"/>
    <w:rsid w:val="002E7FF1"/>
    <w:rsid w:val="002F00B7"/>
    <w:rsid w:val="002F03F3"/>
    <w:rsid w:val="002F03F4"/>
    <w:rsid w:val="002F0461"/>
    <w:rsid w:val="002F0921"/>
    <w:rsid w:val="002F0A91"/>
    <w:rsid w:val="002F24C5"/>
    <w:rsid w:val="002F2A9E"/>
    <w:rsid w:val="002F2BF7"/>
    <w:rsid w:val="002F2D23"/>
    <w:rsid w:val="002F2EC6"/>
    <w:rsid w:val="002F2EEA"/>
    <w:rsid w:val="002F2F2E"/>
    <w:rsid w:val="002F31D3"/>
    <w:rsid w:val="002F39F4"/>
    <w:rsid w:val="002F3A39"/>
    <w:rsid w:val="002F3C45"/>
    <w:rsid w:val="002F3F29"/>
    <w:rsid w:val="002F41A4"/>
    <w:rsid w:val="002F41F1"/>
    <w:rsid w:val="002F4CB6"/>
    <w:rsid w:val="002F50FA"/>
    <w:rsid w:val="002F5294"/>
    <w:rsid w:val="002F5AF4"/>
    <w:rsid w:val="002F5E51"/>
    <w:rsid w:val="002F6177"/>
    <w:rsid w:val="002F64DC"/>
    <w:rsid w:val="002F6E7A"/>
    <w:rsid w:val="002F7437"/>
    <w:rsid w:val="002F7B16"/>
    <w:rsid w:val="002F7B6B"/>
    <w:rsid w:val="002F7BFC"/>
    <w:rsid w:val="00300B0B"/>
    <w:rsid w:val="00300F8A"/>
    <w:rsid w:val="0030141C"/>
    <w:rsid w:val="003014B6"/>
    <w:rsid w:val="0030178C"/>
    <w:rsid w:val="00301BB2"/>
    <w:rsid w:val="00301D52"/>
    <w:rsid w:val="00301F3C"/>
    <w:rsid w:val="0030212E"/>
    <w:rsid w:val="003022EB"/>
    <w:rsid w:val="003029EA"/>
    <w:rsid w:val="00302D48"/>
    <w:rsid w:val="00302E18"/>
    <w:rsid w:val="003031CE"/>
    <w:rsid w:val="00303222"/>
    <w:rsid w:val="00303A2E"/>
    <w:rsid w:val="00303F7E"/>
    <w:rsid w:val="00304547"/>
    <w:rsid w:val="0030458F"/>
    <w:rsid w:val="003048B8"/>
    <w:rsid w:val="00304AF9"/>
    <w:rsid w:val="00304C93"/>
    <w:rsid w:val="00304D9F"/>
    <w:rsid w:val="00304F54"/>
    <w:rsid w:val="00305090"/>
    <w:rsid w:val="0030526D"/>
    <w:rsid w:val="003053C6"/>
    <w:rsid w:val="00305486"/>
    <w:rsid w:val="003054DF"/>
    <w:rsid w:val="00305920"/>
    <w:rsid w:val="00305C12"/>
    <w:rsid w:val="00306040"/>
    <w:rsid w:val="00306403"/>
    <w:rsid w:val="0030650C"/>
    <w:rsid w:val="00306657"/>
    <w:rsid w:val="00306A36"/>
    <w:rsid w:val="00306AC2"/>
    <w:rsid w:val="00306DAC"/>
    <w:rsid w:val="00306FF8"/>
    <w:rsid w:val="00307C07"/>
    <w:rsid w:val="00307E44"/>
    <w:rsid w:val="003101E2"/>
    <w:rsid w:val="00310A35"/>
    <w:rsid w:val="00311238"/>
    <w:rsid w:val="00311EA9"/>
    <w:rsid w:val="003121A8"/>
    <w:rsid w:val="00312256"/>
    <w:rsid w:val="00312560"/>
    <w:rsid w:val="00312902"/>
    <w:rsid w:val="003130B9"/>
    <w:rsid w:val="00313454"/>
    <w:rsid w:val="0031385B"/>
    <w:rsid w:val="003138B1"/>
    <w:rsid w:val="00313B37"/>
    <w:rsid w:val="00313BEB"/>
    <w:rsid w:val="00313E03"/>
    <w:rsid w:val="003144CC"/>
    <w:rsid w:val="003146B0"/>
    <w:rsid w:val="00314829"/>
    <w:rsid w:val="00314983"/>
    <w:rsid w:val="003149A8"/>
    <w:rsid w:val="003149FE"/>
    <w:rsid w:val="00314CF1"/>
    <w:rsid w:val="0031534C"/>
    <w:rsid w:val="0031547E"/>
    <w:rsid w:val="00315CB1"/>
    <w:rsid w:val="003160D7"/>
    <w:rsid w:val="00316438"/>
    <w:rsid w:val="00316465"/>
    <w:rsid w:val="00316F03"/>
    <w:rsid w:val="00317011"/>
    <w:rsid w:val="003173F2"/>
    <w:rsid w:val="00317437"/>
    <w:rsid w:val="003174F3"/>
    <w:rsid w:val="003175DA"/>
    <w:rsid w:val="00317859"/>
    <w:rsid w:val="0031794C"/>
    <w:rsid w:val="00317D16"/>
    <w:rsid w:val="00317E07"/>
    <w:rsid w:val="0032044C"/>
    <w:rsid w:val="00320457"/>
    <w:rsid w:val="0032089F"/>
    <w:rsid w:val="00320984"/>
    <w:rsid w:val="00320C31"/>
    <w:rsid w:val="00320DD5"/>
    <w:rsid w:val="00320E0F"/>
    <w:rsid w:val="00320E3E"/>
    <w:rsid w:val="00321465"/>
    <w:rsid w:val="0032170A"/>
    <w:rsid w:val="00321716"/>
    <w:rsid w:val="00321768"/>
    <w:rsid w:val="00321F75"/>
    <w:rsid w:val="00322129"/>
    <w:rsid w:val="003224C7"/>
    <w:rsid w:val="00322766"/>
    <w:rsid w:val="00322A7D"/>
    <w:rsid w:val="00322F9A"/>
    <w:rsid w:val="00323201"/>
    <w:rsid w:val="00323318"/>
    <w:rsid w:val="0032347C"/>
    <w:rsid w:val="003234E4"/>
    <w:rsid w:val="0032422A"/>
    <w:rsid w:val="003248B5"/>
    <w:rsid w:val="003249CB"/>
    <w:rsid w:val="00324C1F"/>
    <w:rsid w:val="00325A11"/>
    <w:rsid w:val="00325AF3"/>
    <w:rsid w:val="00325D40"/>
    <w:rsid w:val="00325DD8"/>
    <w:rsid w:val="00326167"/>
    <w:rsid w:val="003264D5"/>
    <w:rsid w:val="003266D6"/>
    <w:rsid w:val="00326BEB"/>
    <w:rsid w:val="00326E7B"/>
    <w:rsid w:val="00327000"/>
    <w:rsid w:val="00327514"/>
    <w:rsid w:val="00327CB3"/>
    <w:rsid w:val="0033023C"/>
    <w:rsid w:val="00330305"/>
    <w:rsid w:val="00330376"/>
    <w:rsid w:val="00330A29"/>
    <w:rsid w:val="00330E37"/>
    <w:rsid w:val="00330E4C"/>
    <w:rsid w:val="0033128F"/>
    <w:rsid w:val="003316E9"/>
    <w:rsid w:val="003325F7"/>
    <w:rsid w:val="00332D96"/>
    <w:rsid w:val="003344CD"/>
    <w:rsid w:val="00334692"/>
    <w:rsid w:val="00335DBE"/>
    <w:rsid w:val="00336120"/>
    <w:rsid w:val="00336288"/>
    <w:rsid w:val="003365A7"/>
    <w:rsid w:val="003367E4"/>
    <w:rsid w:val="003369FE"/>
    <w:rsid w:val="00336FE2"/>
    <w:rsid w:val="003372F9"/>
    <w:rsid w:val="00337993"/>
    <w:rsid w:val="00337DDE"/>
    <w:rsid w:val="00340192"/>
    <w:rsid w:val="00340890"/>
    <w:rsid w:val="00340A0C"/>
    <w:rsid w:val="00340D07"/>
    <w:rsid w:val="00340D33"/>
    <w:rsid w:val="0034106E"/>
    <w:rsid w:val="003410A2"/>
    <w:rsid w:val="00341234"/>
    <w:rsid w:val="0034135F"/>
    <w:rsid w:val="00342216"/>
    <w:rsid w:val="00342D84"/>
    <w:rsid w:val="00342EE7"/>
    <w:rsid w:val="00343221"/>
    <w:rsid w:val="00343A8F"/>
    <w:rsid w:val="00343AA0"/>
    <w:rsid w:val="00344D6A"/>
    <w:rsid w:val="00344D7C"/>
    <w:rsid w:val="003456D8"/>
    <w:rsid w:val="003456E4"/>
    <w:rsid w:val="00345C44"/>
    <w:rsid w:val="0034607F"/>
    <w:rsid w:val="00346142"/>
    <w:rsid w:val="0034645B"/>
    <w:rsid w:val="0034667E"/>
    <w:rsid w:val="00346EBE"/>
    <w:rsid w:val="0034750E"/>
    <w:rsid w:val="003475C0"/>
    <w:rsid w:val="00347862"/>
    <w:rsid w:val="003479A3"/>
    <w:rsid w:val="00347AE1"/>
    <w:rsid w:val="00347DAB"/>
    <w:rsid w:val="00347E34"/>
    <w:rsid w:val="00347E72"/>
    <w:rsid w:val="0035025D"/>
    <w:rsid w:val="003512E8"/>
    <w:rsid w:val="00351432"/>
    <w:rsid w:val="00351611"/>
    <w:rsid w:val="00351E25"/>
    <w:rsid w:val="00351E87"/>
    <w:rsid w:val="00351EB7"/>
    <w:rsid w:val="0035276C"/>
    <w:rsid w:val="00352974"/>
    <w:rsid w:val="0035297C"/>
    <w:rsid w:val="00352BD2"/>
    <w:rsid w:val="00352E0D"/>
    <w:rsid w:val="00352FE9"/>
    <w:rsid w:val="00353050"/>
    <w:rsid w:val="00353146"/>
    <w:rsid w:val="00353580"/>
    <w:rsid w:val="003535CB"/>
    <w:rsid w:val="00353D6D"/>
    <w:rsid w:val="00354780"/>
    <w:rsid w:val="003549A6"/>
    <w:rsid w:val="00354B7F"/>
    <w:rsid w:val="00354FAA"/>
    <w:rsid w:val="00354FB7"/>
    <w:rsid w:val="003554BE"/>
    <w:rsid w:val="0035556C"/>
    <w:rsid w:val="00355828"/>
    <w:rsid w:val="00355FBE"/>
    <w:rsid w:val="00356221"/>
    <w:rsid w:val="00356742"/>
    <w:rsid w:val="00356861"/>
    <w:rsid w:val="00356BB9"/>
    <w:rsid w:val="003571A1"/>
    <w:rsid w:val="0035766B"/>
    <w:rsid w:val="00357C0D"/>
    <w:rsid w:val="00360157"/>
    <w:rsid w:val="0036032E"/>
    <w:rsid w:val="003609F0"/>
    <w:rsid w:val="003612A5"/>
    <w:rsid w:val="0036144F"/>
    <w:rsid w:val="00361617"/>
    <w:rsid w:val="00361A83"/>
    <w:rsid w:val="00361DF7"/>
    <w:rsid w:val="00362276"/>
    <w:rsid w:val="00363C0A"/>
    <w:rsid w:val="003647B7"/>
    <w:rsid w:val="003648A4"/>
    <w:rsid w:val="003648EC"/>
    <w:rsid w:val="00364A29"/>
    <w:rsid w:val="00364D87"/>
    <w:rsid w:val="00364FD8"/>
    <w:rsid w:val="0036513D"/>
    <w:rsid w:val="003654B6"/>
    <w:rsid w:val="0036551C"/>
    <w:rsid w:val="00365730"/>
    <w:rsid w:val="003659B6"/>
    <w:rsid w:val="00365A71"/>
    <w:rsid w:val="00365B53"/>
    <w:rsid w:val="00365E62"/>
    <w:rsid w:val="00366A75"/>
    <w:rsid w:val="00366FC9"/>
    <w:rsid w:val="00367A78"/>
    <w:rsid w:val="00367B62"/>
    <w:rsid w:val="00370690"/>
    <w:rsid w:val="00370E96"/>
    <w:rsid w:val="00371E35"/>
    <w:rsid w:val="003721A6"/>
    <w:rsid w:val="00372695"/>
    <w:rsid w:val="003729D1"/>
    <w:rsid w:val="00372DCB"/>
    <w:rsid w:val="00372E96"/>
    <w:rsid w:val="00373155"/>
    <w:rsid w:val="00373463"/>
    <w:rsid w:val="00373924"/>
    <w:rsid w:val="00373D2D"/>
    <w:rsid w:val="003746BA"/>
    <w:rsid w:val="003746C0"/>
    <w:rsid w:val="00374B22"/>
    <w:rsid w:val="00374F34"/>
    <w:rsid w:val="00375035"/>
    <w:rsid w:val="0037538B"/>
    <w:rsid w:val="00375B2B"/>
    <w:rsid w:val="00375C33"/>
    <w:rsid w:val="00375E0C"/>
    <w:rsid w:val="00375E53"/>
    <w:rsid w:val="00376698"/>
    <w:rsid w:val="0037691E"/>
    <w:rsid w:val="0037712D"/>
    <w:rsid w:val="003776B1"/>
    <w:rsid w:val="00377949"/>
    <w:rsid w:val="00377D2E"/>
    <w:rsid w:val="003803DA"/>
    <w:rsid w:val="00380675"/>
    <w:rsid w:val="003809CF"/>
    <w:rsid w:val="00380A30"/>
    <w:rsid w:val="0038130D"/>
    <w:rsid w:val="00381320"/>
    <w:rsid w:val="003815F8"/>
    <w:rsid w:val="003817B8"/>
    <w:rsid w:val="00381A2A"/>
    <w:rsid w:val="00381A40"/>
    <w:rsid w:val="00381A5D"/>
    <w:rsid w:val="00381B2E"/>
    <w:rsid w:val="00381FE6"/>
    <w:rsid w:val="00382025"/>
    <w:rsid w:val="003824A5"/>
    <w:rsid w:val="003826B5"/>
    <w:rsid w:val="0038275E"/>
    <w:rsid w:val="0038278B"/>
    <w:rsid w:val="00382B44"/>
    <w:rsid w:val="0038318E"/>
    <w:rsid w:val="00383309"/>
    <w:rsid w:val="00383316"/>
    <w:rsid w:val="00383E28"/>
    <w:rsid w:val="00384575"/>
    <w:rsid w:val="003851EC"/>
    <w:rsid w:val="0038582B"/>
    <w:rsid w:val="003859D0"/>
    <w:rsid w:val="00385A0D"/>
    <w:rsid w:val="00386477"/>
    <w:rsid w:val="0038675C"/>
    <w:rsid w:val="00387E08"/>
    <w:rsid w:val="003906C3"/>
    <w:rsid w:val="00390D2B"/>
    <w:rsid w:val="00390FF2"/>
    <w:rsid w:val="003910B5"/>
    <w:rsid w:val="003914B5"/>
    <w:rsid w:val="003915EA"/>
    <w:rsid w:val="003918DE"/>
    <w:rsid w:val="00392288"/>
    <w:rsid w:val="00392747"/>
    <w:rsid w:val="003927E3"/>
    <w:rsid w:val="00392BAB"/>
    <w:rsid w:val="00392D1F"/>
    <w:rsid w:val="00392D34"/>
    <w:rsid w:val="00392FE6"/>
    <w:rsid w:val="003930A9"/>
    <w:rsid w:val="00393589"/>
    <w:rsid w:val="00394187"/>
    <w:rsid w:val="00394389"/>
    <w:rsid w:val="003948EB"/>
    <w:rsid w:val="00394D90"/>
    <w:rsid w:val="00395071"/>
    <w:rsid w:val="00395269"/>
    <w:rsid w:val="00396058"/>
    <w:rsid w:val="00396494"/>
    <w:rsid w:val="00396858"/>
    <w:rsid w:val="00396E4B"/>
    <w:rsid w:val="003970D0"/>
    <w:rsid w:val="0039713B"/>
    <w:rsid w:val="00397351"/>
    <w:rsid w:val="00397379"/>
    <w:rsid w:val="0039745B"/>
    <w:rsid w:val="003974C5"/>
    <w:rsid w:val="003976B0"/>
    <w:rsid w:val="003976BC"/>
    <w:rsid w:val="00397B45"/>
    <w:rsid w:val="003A0140"/>
    <w:rsid w:val="003A0253"/>
    <w:rsid w:val="003A0A5B"/>
    <w:rsid w:val="003A1357"/>
    <w:rsid w:val="003A14CD"/>
    <w:rsid w:val="003A1A04"/>
    <w:rsid w:val="003A1C13"/>
    <w:rsid w:val="003A1CF4"/>
    <w:rsid w:val="003A22F9"/>
    <w:rsid w:val="003A25BA"/>
    <w:rsid w:val="003A35CF"/>
    <w:rsid w:val="003A3740"/>
    <w:rsid w:val="003A3D53"/>
    <w:rsid w:val="003A40ED"/>
    <w:rsid w:val="003A417E"/>
    <w:rsid w:val="003A41EF"/>
    <w:rsid w:val="003A4FF4"/>
    <w:rsid w:val="003A5249"/>
    <w:rsid w:val="003A57B1"/>
    <w:rsid w:val="003A58B2"/>
    <w:rsid w:val="003A62CF"/>
    <w:rsid w:val="003A6653"/>
    <w:rsid w:val="003A75B2"/>
    <w:rsid w:val="003A7848"/>
    <w:rsid w:val="003A7C4E"/>
    <w:rsid w:val="003B039D"/>
    <w:rsid w:val="003B15AC"/>
    <w:rsid w:val="003B1751"/>
    <w:rsid w:val="003B17F3"/>
    <w:rsid w:val="003B2385"/>
    <w:rsid w:val="003B25C6"/>
    <w:rsid w:val="003B2A17"/>
    <w:rsid w:val="003B2E37"/>
    <w:rsid w:val="003B2EF2"/>
    <w:rsid w:val="003B2FC5"/>
    <w:rsid w:val="003B3090"/>
    <w:rsid w:val="003B34E0"/>
    <w:rsid w:val="003B381B"/>
    <w:rsid w:val="003B3858"/>
    <w:rsid w:val="003B39CF"/>
    <w:rsid w:val="003B3BAE"/>
    <w:rsid w:val="003B3C6D"/>
    <w:rsid w:val="003B4286"/>
    <w:rsid w:val="003B43BB"/>
    <w:rsid w:val="003B451A"/>
    <w:rsid w:val="003B4B07"/>
    <w:rsid w:val="003B4C4C"/>
    <w:rsid w:val="003B4F26"/>
    <w:rsid w:val="003B54FC"/>
    <w:rsid w:val="003B567E"/>
    <w:rsid w:val="003B57EA"/>
    <w:rsid w:val="003B5C98"/>
    <w:rsid w:val="003B632D"/>
    <w:rsid w:val="003B6CFE"/>
    <w:rsid w:val="003B7273"/>
    <w:rsid w:val="003B7351"/>
    <w:rsid w:val="003B7651"/>
    <w:rsid w:val="003B7D5E"/>
    <w:rsid w:val="003B7F5D"/>
    <w:rsid w:val="003C0147"/>
    <w:rsid w:val="003C0167"/>
    <w:rsid w:val="003C0273"/>
    <w:rsid w:val="003C0319"/>
    <w:rsid w:val="003C04B4"/>
    <w:rsid w:val="003C0F86"/>
    <w:rsid w:val="003C161E"/>
    <w:rsid w:val="003C1924"/>
    <w:rsid w:val="003C1BA7"/>
    <w:rsid w:val="003C1FF0"/>
    <w:rsid w:val="003C24E1"/>
    <w:rsid w:val="003C27AA"/>
    <w:rsid w:val="003C29BC"/>
    <w:rsid w:val="003C2AEB"/>
    <w:rsid w:val="003C2D81"/>
    <w:rsid w:val="003C311D"/>
    <w:rsid w:val="003C3276"/>
    <w:rsid w:val="003C34D7"/>
    <w:rsid w:val="003C362F"/>
    <w:rsid w:val="003C3A12"/>
    <w:rsid w:val="003C3B78"/>
    <w:rsid w:val="003C4424"/>
    <w:rsid w:val="003C4CC3"/>
    <w:rsid w:val="003C574B"/>
    <w:rsid w:val="003C587D"/>
    <w:rsid w:val="003C5DFF"/>
    <w:rsid w:val="003C5EC5"/>
    <w:rsid w:val="003C5EEC"/>
    <w:rsid w:val="003C60E9"/>
    <w:rsid w:val="003C6228"/>
    <w:rsid w:val="003C65B7"/>
    <w:rsid w:val="003C65CB"/>
    <w:rsid w:val="003C68AE"/>
    <w:rsid w:val="003C6B54"/>
    <w:rsid w:val="003C7D03"/>
    <w:rsid w:val="003D02F7"/>
    <w:rsid w:val="003D0AB9"/>
    <w:rsid w:val="003D0C2E"/>
    <w:rsid w:val="003D0C62"/>
    <w:rsid w:val="003D0DD1"/>
    <w:rsid w:val="003D12E1"/>
    <w:rsid w:val="003D14F6"/>
    <w:rsid w:val="003D1753"/>
    <w:rsid w:val="003D1996"/>
    <w:rsid w:val="003D1C9F"/>
    <w:rsid w:val="003D2052"/>
    <w:rsid w:val="003D240C"/>
    <w:rsid w:val="003D294F"/>
    <w:rsid w:val="003D2D5E"/>
    <w:rsid w:val="003D2F08"/>
    <w:rsid w:val="003D3799"/>
    <w:rsid w:val="003D3819"/>
    <w:rsid w:val="003D3AB8"/>
    <w:rsid w:val="003D3CA2"/>
    <w:rsid w:val="003D3E22"/>
    <w:rsid w:val="003D477E"/>
    <w:rsid w:val="003D4921"/>
    <w:rsid w:val="003D49F1"/>
    <w:rsid w:val="003D4AD0"/>
    <w:rsid w:val="003D4BCC"/>
    <w:rsid w:val="003D528B"/>
    <w:rsid w:val="003D5579"/>
    <w:rsid w:val="003D5BFD"/>
    <w:rsid w:val="003D5CF9"/>
    <w:rsid w:val="003D5D67"/>
    <w:rsid w:val="003D5DBE"/>
    <w:rsid w:val="003D63B3"/>
    <w:rsid w:val="003D64D2"/>
    <w:rsid w:val="003D6C04"/>
    <w:rsid w:val="003D6C74"/>
    <w:rsid w:val="003D6E38"/>
    <w:rsid w:val="003D78B3"/>
    <w:rsid w:val="003D7A0E"/>
    <w:rsid w:val="003D7A64"/>
    <w:rsid w:val="003D7B36"/>
    <w:rsid w:val="003D7C99"/>
    <w:rsid w:val="003E0754"/>
    <w:rsid w:val="003E0A4B"/>
    <w:rsid w:val="003E0F1A"/>
    <w:rsid w:val="003E1090"/>
    <w:rsid w:val="003E12D6"/>
    <w:rsid w:val="003E1390"/>
    <w:rsid w:val="003E1E47"/>
    <w:rsid w:val="003E22D4"/>
    <w:rsid w:val="003E2809"/>
    <w:rsid w:val="003E281D"/>
    <w:rsid w:val="003E297D"/>
    <w:rsid w:val="003E2CFF"/>
    <w:rsid w:val="003E2EC3"/>
    <w:rsid w:val="003E2F6E"/>
    <w:rsid w:val="003E3293"/>
    <w:rsid w:val="003E39A8"/>
    <w:rsid w:val="003E3DD5"/>
    <w:rsid w:val="003E3FD8"/>
    <w:rsid w:val="003E4077"/>
    <w:rsid w:val="003E40C4"/>
    <w:rsid w:val="003E4344"/>
    <w:rsid w:val="003E44F2"/>
    <w:rsid w:val="003E478B"/>
    <w:rsid w:val="003E5011"/>
    <w:rsid w:val="003E505B"/>
    <w:rsid w:val="003E515F"/>
    <w:rsid w:val="003E52E3"/>
    <w:rsid w:val="003E561D"/>
    <w:rsid w:val="003E575A"/>
    <w:rsid w:val="003E5D34"/>
    <w:rsid w:val="003E5DED"/>
    <w:rsid w:val="003E60C0"/>
    <w:rsid w:val="003E615F"/>
    <w:rsid w:val="003E61C3"/>
    <w:rsid w:val="003E624D"/>
    <w:rsid w:val="003E6595"/>
    <w:rsid w:val="003E70CA"/>
    <w:rsid w:val="003E7413"/>
    <w:rsid w:val="003E7459"/>
    <w:rsid w:val="003E7717"/>
    <w:rsid w:val="003E7AD3"/>
    <w:rsid w:val="003E7F38"/>
    <w:rsid w:val="003E7FC4"/>
    <w:rsid w:val="003F05D0"/>
    <w:rsid w:val="003F0BD7"/>
    <w:rsid w:val="003F1613"/>
    <w:rsid w:val="003F1638"/>
    <w:rsid w:val="003F16B0"/>
    <w:rsid w:val="003F1B35"/>
    <w:rsid w:val="003F1FBF"/>
    <w:rsid w:val="003F23F8"/>
    <w:rsid w:val="003F2787"/>
    <w:rsid w:val="003F2DC0"/>
    <w:rsid w:val="003F3154"/>
    <w:rsid w:val="003F32B0"/>
    <w:rsid w:val="003F3AD7"/>
    <w:rsid w:val="003F4329"/>
    <w:rsid w:val="003F47A2"/>
    <w:rsid w:val="003F50A9"/>
    <w:rsid w:val="003F57CC"/>
    <w:rsid w:val="003F5AA8"/>
    <w:rsid w:val="003F5DC0"/>
    <w:rsid w:val="003F5F22"/>
    <w:rsid w:val="003F603B"/>
    <w:rsid w:val="003F62BB"/>
    <w:rsid w:val="003F6792"/>
    <w:rsid w:val="003F6D86"/>
    <w:rsid w:val="003F6ED1"/>
    <w:rsid w:val="003F777F"/>
    <w:rsid w:val="003F7DEC"/>
    <w:rsid w:val="003F7E51"/>
    <w:rsid w:val="003F7FDB"/>
    <w:rsid w:val="004002B4"/>
    <w:rsid w:val="004007E1"/>
    <w:rsid w:val="004009DC"/>
    <w:rsid w:val="00400CCF"/>
    <w:rsid w:val="00400F10"/>
    <w:rsid w:val="004019FA"/>
    <w:rsid w:val="00402297"/>
    <w:rsid w:val="00402903"/>
    <w:rsid w:val="004034AD"/>
    <w:rsid w:val="00403709"/>
    <w:rsid w:val="0040385C"/>
    <w:rsid w:val="00404267"/>
    <w:rsid w:val="0040455D"/>
    <w:rsid w:val="004045FC"/>
    <w:rsid w:val="00404870"/>
    <w:rsid w:val="00404A25"/>
    <w:rsid w:val="00404DC9"/>
    <w:rsid w:val="00404F05"/>
    <w:rsid w:val="00404F27"/>
    <w:rsid w:val="004051B6"/>
    <w:rsid w:val="0040535B"/>
    <w:rsid w:val="0040552C"/>
    <w:rsid w:val="00405890"/>
    <w:rsid w:val="00405DF1"/>
    <w:rsid w:val="0040610D"/>
    <w:rsid w:val="00406185"/>
    <w:rsid w:val="00406190"/>
    <w:rsid w:val="00406871"/>
    <w:rsid w:val="00406A8D"/>
    <w:rsid w:val="00406DE4"/>
    <w:rsid w:val="00407115"/>
    <w:rsid w:val="0040728E"/>
    <w:rsid w:val="0040798E"/>
    <w:rsid w:val="004103D7"/>
    <w:rsid w:val="004110A8"/>
    <w:rsid w:val="0041113F"/>
    <w:rsid w:val="0041118B"/>
    <w:rsid w:val="00411801"/>
    <w:rsid w:val="00412325"/>
    <w:rsid w:val="004127C7"/>
    <w:rsid w:val="00412BB6"/>
    <w:rsid w:val="00412D8B"/>
    <w:rsid w:val="00413346"/>
    <w:rsid w:val="00413825"/>
    <w:rsid w:val="00413D9A"/>
    <w:rsid w:val="00413E22"/>
    <w:rsid w:val="00414258"/>
    <w:rsid w:val="004142D0"/>
    <w:rsid w:val="004145D6"/>
    <w:rsid w:val="00414789"/>
    <w:rsid w:val="00415A5F"/>
    <w:rsid w:val="004160A3"/>
    <w:rsid w:val="00416219"/>
    <w:rsid w:val="0041637A"/>
    <w:rsid w:val="004164C2"/>
    <w:rsid w:val="004166AB"/>
    <w:rsid w:val="0041697C"/>
    <w:rsid w:val="00416AAA"/>
    <w:rsid w:val="00416BBB"/>
    <w:rsid w:val="00416FBC"/>
    <w:rsid w:val="004172FB"/>
    <w:rsid w:val="0041750C"/>
    <w:rsid w:val="00417880"/>
    <w:rsid w:val="004179B4"/>
    <w:rsid w:val="00417AB3"/>
    <w:rsid w:val="004217DC"/>
    <w:rsid w:val="00421C58"/>
    <w:rsid w:val="00421F8F"/>
    <w:rsid w:val="0042208E"/>
    <w:rsid w:val="004220DC"/>
    <w:rsid w:val="004220FE"/>
    <w:rsid w:val="004227D4"/>
    <w:rsid w:val="00422ADB"/>
    <w:rsid w:val="00422C37"/>
    <w:rsid w:val="00422C50"/>
    <w:rsid w:val="00422F42"/>
    <w:rsid w:val="00422FEA"/>
    <w:rsid w:val="004233EC"/>
    <w:rsid w:val="004234C5"/>
    <w:rsid w:val="00423844"/>
    <w:rsid w:val="00423AC8"/>
    <w:rsid w:val="00423BBE"/>
    <w:rsid w:val="00424315"/>
    <w:rsid w:val="004247D5"/>
    <w:rsid w:val="004248C0"/>
    <w:rsid w:val="0042515E"/>
    <w:rsid w:val="00425A00"/>
    <w:rsid w:val="00425D1A"/>
    <w:rsid w:val="00425ED1"/>
    <w:rsid w:val="00426443"/>
    <w:rsid w:val="004266ED"/>
    <w:rsid w:val="00426804"/>
    <w:rsid w:val="00426A38"/>
    <w:rsid w:val="00426C10"/>
    <w:rsid w:val="004272D3"/>
    <w:rsid w:val="004273E1"/>
    <w:rsid w:val="004276C1"/>
    <w:rsid w:val="00427BD8"/>
    <w:rsid w:val="00430529"/>
    <w:rsid w:val="004310B0"/>
    <w:rsid w:val="00431629"/>
    <w:rsid w:val="00431918"/>
    <w:rsid w:val="00431C23"/>
    <w:rsid w:val="00431CDF"/>
    <w:rsid w:val="004321E0"/>
    <w:rsid w:val="0043261D"/>
    <w:rsid w:val="00432CCB"/>
    <w:rsid w:val="0043346A"/>
    <w:rsid w:val="004335FC"/>
    <w:rsid w:val="00433929"/>
    <w:rsid w:val="00433A7C"/>
    <w:rsid w:val="00433C8B"/>
    <w:rsid w:val="00433E0B"/>
    <w:rsid w:val="00433F2A"/>
    <w:rsid w:val="004346B6"/>
    <w:rsid w:val="00434BE4"/>
    <w:rsid w:val="00435696"/>
    <w:rsid w:val="00435BA0"/>
    <w:rsid w:val="00435E4D"/>
    <w:rsid w:val="00436024"/>
    <w:rsid w:val="0043614B"/>
    <w:rsid w:val="00436A4E"/>
    <w:rsid w:val="00437046"/>
    <w:rsid w:val="00437072"/>
    <w:rsid w:val="004373A4"/>
    <w:rsid w:val="00437522"/>
    <w:rsid w:val="004376E5"/>
    <w:rsid w:val="00437E45"/>
    <w:rsid w:val="00437F1F"/>
    <w:rsid w:val="00440065"/>
    <w:rsid w:val="00440198"/>
    <w:rsid w:val="004402A9"/>
    <w:rsid w:val="00441CAD"/>
    <w:rsid w:val="00441E06"/>
    <w:rsid w:val="0044248B"/>
    <w:rsid w:val="00442585"/>
    <w:rsid w:val="00442814"/>
    <w:rsid w:val="00442CD3"/>
    <w:rsid w:val="00442E3E"/>
    <w:rsid w:val="00442E8D"/>
    <w:rsid w:val="00442E94"/>
    <w:rsid w:val="0044319E"/>
    <w:rsid w:val="004438E8"/>
    <w:rsid w:val="004439F0"/>
    <w:rsid w:val="00443AD5"/>
    <w:rsid w:val="00443D00"/>
    <w:rsid w:val="0044497F"/>
    <w:rsid w:val="00444AEB"/>
    <w:rsid w:val="00444E2C"/>
    <w:rsid w:val="00445354"/>
    <w:rsid w:val="004455EF"/>
    <w:rsid w:val="004459A7"/>
    <w:rsid w:val="004459E5"/>
    <w:rsid w:val="00445A43"/>
    <w:rsid w:val="00445CD5"/>
    <w:rsid w:val="004460DD"/>
    <w:rsid w:val="004461A7"/>
    <w:rsid w:val="00446248"/>
    <w:rsid w:val="00446C06"/>
    <w:rsid w:val="00446CED"/>
    <w:rsid w:val="00446DC5"/>
    <w:rsid w:val="00446FC3"/>
    <w:rsid w:val="00447336"/>
    <w:rsid w:val="00447580"/>
    <w:rsid w:val="004475A1"/>
    <w:rsid w:val="004477B2"/>
    <w:rsid w:val="0045004A"/>
    <w:rsid w:val="00450175"/>
    <w:rsid w:val="004505FB"/>
    <w:rsid w:val="00450E12"/>
    <w:rsid w:val="00450EFC"/>
    <w:rsid w:val="00450FF7"/>
    <w:rsid w:val="004515D5"/>
    <w:rsid w:val="004517F5"/>
    <w:rsid w:val="00451E48"/>
    <w:rsid w:val="00451F6D"/>
    <w:rsid w:val="00452584"/>
    <w:rsid w:val="0045262A"/>
    <w:rsid w:val="00452B16"/>
    <w:rsid w:val="00452C6C"/>
    <w:rsid w:val="00453A0B"/>
    <w:rsid w:val="00453E14"/>
    <w:rsid w:val="00453E47"/>
    <w:rsid w:val="00453F3B"/>
    <w:rsid w:val="00454088"/>
    <w:rsid w:val="004541C6"/>
    <w:rsid w:val="0045475B"/>
    <w:rsid w:val="00454861"/>
    <w:rsid w:val="0045489D"/>
    <w:rsid w:val="00454C6E"/>
    <w:rsid w:val="00455172"/>
    <w:rsid w:val="0045540B"/>
    <w:rsid w:val="00455E6F"/>
    <w:rsid w:val="00455F63"/>
    <w:rsid w:val="00455FDF"/>
    <w:rsid w:val="00456A88"/>
    <w:rsid w:val="00456BA6"/>
    <w:rsid w:val="00456CD7"/>
    <w:rsid w:val="00456D58"/>
    <w:rsid w:val="00456FA7"/>
    <w:rsid w:val="00457222"/>
    <w:rsid w:val="004572B1"/>
    <w:rsid w:val="0045736A"/>
    <w:rsid w:val="00457885"/>
    <w:rsid w:val="0045790E"/>
    <w:rsid w:val="00457E17"/>
    <w:rsid w:val="00457FE2"/>
    <w:rsid w:val="004602B2"/>
    <w:rsid w:val="0046038F"/>
    <w:rsid w:val="00460443"/>
    <w:rsid w:val="00460693"/>
    <w:rsid w:val="0046090B"/>
    <w:rsid w:val="00461A03"/>
    <w:rsid w:val="00462158"/>
    <w:rsid w:val="00462244"/>
    <w:rsid w:val="00462618"/>
    <w:rsid w:val="00462E17"/>
    <w:rsid w:val="00463119"/>
    <w:rsid w:val="00463ED9"/>
    <w:rsid w:val="004647DB"/>
    <w:rsid w:val="00464A9E"/>
    <w:rsid w:val="00464CC3"/>
    <w:rsid w:val="00464E91"/>
    <w:rsid w:val="00465280"/>
    <w:rsid w:val="00465305"/>
    <w:rsid w:val="00465A45"/>
    <w:rsid w:val="00465BC5"/>
    <w:rsid w:val="0046610D"/>
    <w:rsid w:val="004666FF"/>
    <w:rsid w:val="00466771"/>
    <w:rsid w:val="00466A4C"/>
    <w:rsid w:val="00466A85"/>
    <w:rsid w:val="004672FD"/>
    <w:rsid w:val="0046730C"/>
    <w:rsid w:val="00467357"/>
    <w:rsid w:val="00467612"/>
    <w:rsid w:val="0046764E"/>
    <w:rsid w:val="00467EDC"/>
    <w:rsid w:val="00470354"/>
    <w:rsid w:val="004708CE"/>
    <w:rsid w:val="00470DEB"/>
    <w:rsid w:val="0047121D"/>
    <w:rsid w:val="0047154C"/>
    <w:rsid w:val="004716B2"/>
    <w:rsid w:val="00471714"/>
    <w:rsid w:val="00471A28"/>
    <w:rsid w:val="00471E35"/>
    <w:rsid w:val="00471FC1"/>
    <w:rsid w:val="004726A7"/>
    <w:rsid w:val="00472E19"/>
    <w:rsid w:val="004730BA"/>
    <w:rsid w:val="0047354C"/>
    <w:rsid w:val="00473DBA"/>
    <w:rsid w:val="00474392"/>
    <w:rsid w:val="00474DA9"/>
    <w:rsid w:val="004751D8"/>
    <w:rsid w:val="004752CD"/>
    <w:rsid w:val="00475401"/>
    <w:rsid w:val="004759E6"/>
    <w:rsid w:val="00475F90"/>
    <w:rsid w:val="00476019"/>
    <w:rsid w:val="00476609"/>
    <w:rsid w:val="00476751"/>
    <w:rsid w:val="00476846"/>
    <w:rsid w:val="00476B15"/>
    <w:rsid w:val="00476ED7"/>
    <w:rsid w:val="00477241"/>
    <w:rsid w:val="0047744C"/>
    <w:rsid w:val="00477E61"/>
    <w:rsid w:val="00477ECC"/>
    <w:rsid w:val="004804B8"/>
    <w:rsid w:val="004804DB"/>
    <w:rsid w:val="00480818"/>
    <w:rsid w:val="004808EB"/>
    <w:rsid w:val="00480BB0"/>
    <w:rsid w:val="004814D5"/>
    <w:rsid w:val="004819C9"/>
    <w:rsid w:val="00482050"/>
    <w:rsid w:val="00482067"/>
    <w:rsid w:val="00482104"/>
    <w:rsid w:val="004821DA"/>
    <w:rsid w:val="00482403"/>
    <w:rsid w:val="0048258F"/>
    <w:rsid w:val="00482B53"/>
    <w:rsid w:val="00482FB3"/>
    <w:rsid w:val="00483016"/>
    <w:rsid w:val="004831F0"/>
    <w:rsid w:val="00483707"/>
    <w:rsid w:val="004837B2"/>
    <w:rsid w:val="00483B66"/>
    <w:rsid w:val="00483D67"/>
    <w:rsid w:val="00483EE9"/>
    <w:rsid w:val="00484105"/>
    <w:rsid w:val="004841EC"/>
    <w:rsid w:val="004844B0"/>
    <w:rsid w:val="004847E0"/>
    <w:rsid w:val="00485764"/>
    <w:rsid w:val="00485972"/>
    <w:rsid w:val="0048665A"/>
    <w:rsid w:val="004866B0"/>
    <w:rsid w:val="0048686F"/>
    <w:rsid w:val="00486A15"/>
    <w:rsid w:val="004872C5"/>
    <w:rsid w:val="004878B9"/>
    <w:rsid w:val="0048791C"/>
    <w:rsid w:val="00487A01"/>
    <w:rsid w:val="0049012B"/>
    <w:rsid w:val="00490286"/>
    <w:rsid w:val="00491712"/>
    <w:rsid w:val="00491DAC"/>
    <w:rsid w:val="00492221"/>
    <w:rsid w:val="004927F2"/>
    <w:rsid w:val="004928D2"/>
    <w:rsid w:val="00492CBF"/>
    <w:rsid w:val="0049318C"/>
    <w:rsid w:val="004934FB"/>
    <w:rsid w:val="00493E94"/>
    <w:rsid w:val="00493F20"/>
    <w:rsid w:val="004942E0"/>
    <w:rsid w:val="00494D87"/>
    <w:rsid w:val="00494DD7"/>
    <w:rsid w:val="0049503E"/>
    <w:rsid w:val="004950DA"/>
    <w:rsid w:val="0049570F"/>
    <w:rsid w:val="004959FB"/>
    <w:rsid w:val="00496264"/>
    <w:rsid w:val="004962C1"/>
    <w:rsid w:val="0049673D"/>
    <w:rsid w:val="00496E3B"/>
    <w:rsid w:val="00496EBC"/>
    <w:rsid w:val="00496F9E"/>
    <w:rsid w:val="004975E6"/>
    <w:rsid w:val="00497E47"/>
    <w:rsid w:val="004A03A5"/>
    <w:rsid w:val="004A0626"/>
    <w:rsid w:val="004A0915"/>
    <w:rsid w:val="004A0920"/>
    <w:rsid w:val="004A09BA"/>
    <w:rsid w:val="004A0BCE"/>
    <w:rsid w:val="004A0D7F"/>
    <w:rsid w:val="004A1053"/>
    <w:rsid w:val="004A119F"/>
    <w:rsid w:val="004A11A7"/>
    <w:rsid w:val="004A11AE"/>
    <w:rsid w:val="004A16E2"/>
    <w:rsid w:val="004A17BA"/>
    <w:rsid w:val="004A1BBF"/>
    <w:rsid w:val="004A1ECC"/>
    <w:rsid w:val="004A254E"/>
    <w:rsid w:val="004A2626"/>
    <w:rsid w:val="004A2FD9"/>
    <w:rsid w:val="004A30CB"/>
    <w:rsid w:val="004A31E5"/>
    <w:rsid w:val="004A393E"/>
    <w:rsid w:val="004A395B"/>
    <w:rsid w:val="004A3ABE"/>
    <w:rsid w:val="004A4F60"/>
    <w:rsid w:val="004A5C7A"/>
    <w:rsid w:val="004A5CE7"/>
    <w:rsid w:val="004A5E7A"/>
    <w:rsid w:val="004A672B"/>
    <w:rsid w:val="004A6871"/>
    <w:rsid w:val="004A69A3"/>
    <w:rsid w:val="004A69A9"/>
    <w:rsid w:val="004A6E3B"/>
    <w:rsid w:val="004A72A5"/>
    <w:rsid w:val="004A788E"/>
    <w:rsid w:val="004A7B51"/>
    <w:rsid w:val="004A7F1D"/>
    <w:rsid w:val="004A7F4B"/>
    <w:rsid w:val="004A7F52"/>
    <w:rsid w:val="004A7FE3"/>
    <w:rsid w:val="004B00F0"/>
    <w:rsid w:val="004B0163"/>
    <w:rsid w:val="004B0734"/>
    <w:rsid w:val="004B0E5E"/>
    <w:rsid w:val="004B125C"/>
    <w:rsid w:val="004B13F1"/>
    <w:rsid w:val="004B1419"/>
    <w:rsid w:val="004B15F5"/>
    <w:rsid w:val="004B163D"/>
    <w:rsid w:val="004B1A64"/>
    <w:rsid w:val="004B1D2F"/>
    <w:rsid w:val="004B2644"/>
    <w:rsid w:val="004B27C8"/>
    <w:rsid w:val="004B2A11"/>
    <w:rsid w:val="004B2DE0"/>
    <w:rsid w:val="004B3724"/>
    <w:rsid w:val="004B3831"/>
    <w:rsid w:val="004B416B"/>
    <w:rsid w:val="004B4314"/>
    <w:rsid w:val="004B46E2"/>
    <w:rsid w:val="004B482A"/>
    <w:rsid w:val="004B4B5B"/>
    <w:rsid w:val="004B5528"/>
    <w:rsid w:val="004B5589"/>
    <w:rsid w:val="004B57EC"/>
    <w:rsid w:val="004B6324"/>
    <w:rsid w:val="004B665C"/>
    <w:rsid w:val="004B6F20"/>
    <w:rsid w:val="004B706E"/>
    <w:rsid w:val="004B7E8D"/>
    <w:rsid w:val="004C00D5"/>
    <w:rsid w:val="004C0BCA"/>
    <w:rsid w:val="004C0E6E"/>
    <w:rsid w:val="004C0F13"/>
    <w:rsid w:val="004C0FCC"/>
    <w:rsid w:val="004C1136"/>
    <w:rsid w:val="004C12D1"/>
    <w:rsid w:val="004C1642"/>
    <w:rsid w:val="004C1838"/>
    <w:rsid w:val="004C18B4"/>
    <w:rsid w:val="004C1AC6"/>
    <w:rsid w:val="004C1BCB"/>
    <w:rsid w:val="004C1F8E"/>
    <w:rsid w:val="004C20CC"/>
    <w:rsid w:val="004C2575"/>
    <w:rsid w:val="004C2DD2"/>
    <w:rsid w:val="004C2DFA"/>
    <w:rsid w:val="004C2F93"/>
    <w:rsid w:val="004C3638"/>
    <w:rsid w:val="004C3B0E"/>
    <w:rsid w:val="004C3B7B"/>
    <w:rsid w:val="004C3EDB"/>
    <w:rsid w:val="004C4235"/>
    <w:rsid w:val="004C4262"/>
    <w:rsid w:val="004C427E"/>
    <w:rsid w:val="004C449D"/>
    <w:rsid w:val="004C4968"/>
    <w:rsid w:val="004C49D6"/>
    <w:rsid w:val="004C4A0A"/>
    <w:rsid w:val="004C4EB4"/>
    <w:rsid w:val="004C53FA"/>
    <w:rsid w:val="004C59FF"/>
    <w:rsid w:val="004C5BA0"/>
    <w:rsid w:val="004C5D85"/>
    <w:rsid w:val="004C5F80"/>
    <w:rsid w:val="004C68D3"/>
    <w:rsid w:val="004C6D06"/>
    <w:rsid w:val="004C6FCC"/>
    <w:rsid w:val="004C77B6"/>
    <w:rsid w:val="004C7828"/>
    <w:rsid w:val="004C7839"/>
    <w:rsid w:val="004C7BDF"/>
    <w:rsid w:val="004D051D"/>
    <w:rsid w:val="004D05E0"/>
    <w:rsid w:val="004D0628"/>
    <w:rsid w:val="004D0D54"/>
    <w:rsid w:val="004D117A"/>
    <w:rsid w:val="004D171B"/>
    <w:rsid w:val="004D19D4"/>
    <w:rsid w:val="004D1D8E"/>
    <w:rsid w:val="004D222C"/>
    <w:rsid w:val="004D2307"/>
    <w:rsid w:val="004D239B"/>
    <w:rsid w:val="004D2805"/>
    <w:rsid w:val="004D2919"/>
    <w:rsid w:val="004D2B35"/>
    <w:rsid w:val="004D2DFA"/>
    <w:rsid w:val="004D2F4D"/>
    <w:rsid w:val="004D2F57"/>
    <w:rsid w:val="004D34E8"/>
    <w:rsid w:val="004D350B"/>
    <w:rsid w:val="004D38B0"/>
    <w:rsid w:val="004D38FD"/>
    <w:rsid w:val="004D3D24"/>
    <w:rsid w:val="004D3D40"/>
    <w:rsid w:val="004D431E"/>
    <w:rsid w:val="004D49DC"/>
    <w:rsid w:val="004D4AF7"/>
    <w:rsid w:val="004D4E25"/>
    <w:rsid w:val="004D4E69"/>
    <w:rsid w:val="004D4F8C"/>
    <w:rsid w:val="004D5014"/>
    <w:rsid w:val="004D5B6F"/>
    <w:rsid w:val="004D5DF1"/>
    <w:rsid w:val="004D5EE6"/>
    <w:rsid w:val="004D6026"/>
    <w:rsid w:val="004D65E3"/>
    <w:rsid w:val="004D6866"/>
    <w:rsid w:val="004D6CFD"/>
    <w:rsid w:val="004D6F9E"/>
    <w:rsid w:val="004D76E2"/>
    <w:rsid w:val="004D7C9E"/>
    <w:rsid w:val="004D7FAA"/>
    <w:rsid w:val="004E01E7"/>
    <w:rsid w:val="004E09E2"/>
    <w:rsid w:val="004E1276"/>
    <w:rsid w:val="004E13F9"/>
    <w:rsid w:val="004E1896"/>
    <w:rsid w:val="004E1A24"/>
    <w:rsid w:val="004E1B7F"/>
    <w:rsid w:val="004E1F04"/>
    <w:rsid w:val="004E222D"/>
    <w:rsid w:val="004E24B1"/>
    <w:rsid w:val="004E2712"/>
    <w:rsid w:val="004E2E1A"/>
    <w:rsid w:val="004E2F23"/>
    <w:rsid w:val="004E3AAF"/>
    <w:rsid w:val="004E45AE"/>
    <w:rsid w:val="004E4C60"/>
    <w:rsid w:val="004E53D7"/>
    <w:rsid w:val="004E5417"/>
    <w:rsid w:val="004E54A6"/>
    <w:rsid w:val="004E5ADC"/>
    <w:rsid w:val="004E5C42"/>
    <w:rsid w:val="004E6384"/>
    <w:rsid w:val="004E63CE"/>
    <w:rsid w:val="004E668E"/>
    <w:rsid w:val="004E6722"/>
    <w:rsid w:val="004E68D2"/>
    <w:rsid w:val="004E6CFD"/>
    <w:rsid w:val="004E6FBA"/>
    <w:rsid w:val="004E738F"/>
    <w:rsid w:val="004E796D"/>
    <w:rsid w:val="004E7986"/>
    <w:rsid w:val="004E7C99"/>
    <w:rsid w:val="004E7E40"/>
    <w:rsid w:val="004F002E"/>
    <w:rsid w:val="004F07E2"/>
    <w:rsid w:val="004F108B"/>
    <w:rsid w:val="004F15A2"/>
    <w:rsid w:val="004F165C"/>
    <w:rsid w:val="004F1FF3"/>
    <w:rsid w:val="004F26A9"/>
    <w:rsid w:val="004F2C39"/>
    <w:rsid w:val="004F3521"/>
    <w:rsid w:val="004F3991"/>
    <w:rsid w:val="004F3B8A"/>
    <w:rsid w:val="004F3F7F"/>
    <w:rsid w:val="004F4227"/>
    <w:rsid w:val="004F434F"/>
    <w:rsid w:val="004F4689"/>
    <w:rsid w:val="004F567A"/>
    <w:rsid w:val="004F5A09"/>
    <w:rsid w:val="004F5BBF"/>
    <w:rsid w:val="004F5C40"/>
    <w:rsid w:val="004F5F80"/>
    <w:rsid w:val="004F61FC"/>
    <w:rsid w:val="004F687B"/>
    <w:rsid w:val="004F6888"/>
    <w:rsid w:val="004F7213"/>
    <w:rsid w:val="004F751C"/>
    <w:rsid w:val="004F7610"/>
    <w:rsid w:val="004F7B9C"/>
    <w:rsid w:val="004F7EBB"/>
    <w:rsid w:val="00500275"/>
    <w:rsid w:val="005004D0"/>
    <w:rsid w:val="00500897"/>
    <w:rsid w:val="00501660"/>
    <w:rsid w:val="005018A7"/>
    <w:rsid w:val="00501D43"/>
    <w:rsid w:val="005023D9"/>
    <w:rsid w:val="00502C1D"/>
    <w:rsid w:val="00502E1F"/>
    <w:rsid w:val="005032DB"/>
    <w:rsid w:val="005036E3"/>
    <w:rsid w:val="005037E3"/>
    <w:rsid w:val="00503B39"/>
    <w:rsid w:val="005044EE"/>
    <w:rsid w:val="005046C5"/>
    <w:rsid w:val="00504959"/>
    <w:rsid w:val="0050505F"/>
    <w:rsid w:val="00505603"/>
    <w:rsid w:val="00505C90"/>
    <w:rsid w:val="00506022"/>
    <w:rsid w:val="00506380"/>
    <w:rsid w:val="005067A9"/>
    <w:rsid w:val="0050683E"/>
    <w:rsid w:val="00507252"/>
    <w:rsid w:val="00507495"/>
    <w:rsid w:val="0050749D"/>
    <w:rsid w:val="0050781D"/>
    <w:rsid w:val="00507AB1"/>
    <w:rsid w:val="005102C0"/>
    <w:rsid w:val="005103B0"/>
    <w:rsid w:val="00510738"/>
    <w:rsid w:val="00510E63"/>
    <w:rsid w:val="00510F98"/>
    <w:rsid w:val="005113A3"/>
    <w:rsid w:val="00511C96"/>
    <w:rsid w:val="00512606"/>
    <w:rsid w:val="00512BAF"/>
    <w:rsid w:val="00512F03"/>
    <w:rsid w:val="005135B0"/>
    <w:rsid w:val="0051370D"/>
    <w:rsid w:val="0051374D"/>
    <w:rsid w:val="00513CC7"/>
    <w:rsid w:val="00514097"/>
    <w:rsid w:val="005140D6"/>
    <w:rsid w:val="00514850"/>
    <w:rsid w:val="0051509D"/>
    <w:rsid w:val="00515121"/>
    <w:rsid w:val="00515282"/>
    <w:rsid w:val="00515435"/>
    <w:rsid w:val="00515467"/>
    <w:rsid w:val="005155C6"/>
    <w:rsid w:val="00515755"/>
    <w:rsid w:val="005174AE"/>
    <w:rsid w:val="0051799B"/>
    <w:rsid w:val="00517E40"/>
    <w:rsid w:val="005207B5"/>
    <w:rsid w:val="00520E5E"/>
    <w:rsid w:val="00520EBC"/>
    <w:rsid w:val="00520F40"/>
    <w:rsid w:val="00521535"/>
    <w:rsid w:val="005216B8"/>
    <w:rsid w:val="0052172E"/>
    <w:rsid w:val="00521A67"/>
    <w:rsid w:val="00521F1A"/>
    <w:rsid w:val="005222B9"/>
    <w:rsid w:val="005226C1"/>
    <w:rsid w:val="00522A06"/>
    <w:rsid w:val="00522FD1"/>
    <w:rsid w:val="00523132"/>
    <w:rsid w:val="005235ED"/>
    <w:rsid w:val="00523B3D"/>
    <w:rsid w:val="00524421"/>
    <w:rsid w:val="00524648"/>
    <w:rsid w:val="005258DA"/>
    <w:rsid w:val="00525906"/>
    <w:rsid w:val="0052598F"/>
    <w:rsid w:val="005264A3"/>
    <w:rsid w:val="00527491"/>
    <w:rsid w:val="00527B44"/>
    <w:rsid w:val="005302FC"/>
    <w:rsid w:val="00530410"/>
    <w:rsid w:val="00530748"/>
    <w:rsid w:val="00530868"/>
    <w:rsid w:val="00530EC2"/>
    <w:rsid w:val="005313E8"/>
    <w:rsid w:val="005314BC"/>
    <w:rsid w:val="00531B6A"/>
    <w:rsid w:val="00531F29"/>
    <w:rsid w:val="00531F4C"/>
    <w:rsid w:val="005324D5"/>
    <w:rsid w:val="00532C64"/>
    <w:rsid w:val="00532FB4"/>
    <w:rsid w:val="00533279"/>
    <w:rsid w:val="005334F2"/>
    <w:rsid w:val="00533754"/>
    <w:rsid w:val="00533C3D"/>
    <w:rsid w:val="00533C45"/>
    <w:rsid w:val="00533E4C"/>
    <w:rsid w:val="0053432F"/>
    <w:rsid w:val="005345A9"/>
    <w:rsid w:val="00534604"/>
    <w:rsid w:val="00535A8C"/>
    <w:rsid w:val="005360BD"/>
    <w:rsid w:val="00536306"/>
    <w:rsid w:val="0053632C"/>
    <w:rsid w:val="00536760"/>
    <w:rsid w:val="00536781"/>
    <w:rsid w:val="00536A57"/>
    <w:rsid w:val="00536AA6"/>
    <w:rsid w:val="00536AB2"/>
    <w:rsid w:val="0053745A"/>
    <w:rsid w:val="005378D4"/>
    <w:rsid w:val="0053792F"/>
    <w:rsid w:val="00537D49"/>
    <w:rsid w:val="005401A7"/>
    <w:rsid w:val="005406CF"/>
    <w:rsid w:val="0054117D"/>
    <w:rsid w:val="00541A75"/>
    <w:rsid w:val="00541BEF"/>
    <w:rsid w:val="00541D21"/>
    <w:rsid w:val="00541D6C"/>
    <w:rsid w:val="0054294A"/>
    <w:rsid w:val="005434A7"/>
    <w:rsid w:val="00543C5B"/>
    <w:rsid w:val="00543FA5"/>
    <w:rsid w:val="0054410F"/>
    <w:rsid w:val="00544249"/>
    <w:rsid w:val="00544407"/>
    <w:rsid w:val="0054446B"/>
    <w:rsid w:val="00544704"/>
    <w:rsid w:val="00544760"/>
    <w:rsid w:val="00544BB9"/>
    <w:rsid w:val="00544E60"/>
    <w:rsid w:val="005451DA"/>
    <w:rsid w:val="005451F9"/>
    <w:rsid w:val="0054520D"/>
    <w:rsid w:val="00545885"/>
    <w:rsid w:val="00545C50"/>
    <w:rsid w:val="00545E06"/>
    <w:rsid w:val="00545EEC"/>
    <w:rsid w:val="005463BD"/>
    <w:rsid w:val="0054689D"/>
    <w:rsid w:val="00546ACE"/>
    <w:rsid w:val="0054704E"/>
    <w:rsid w:val="0054731A"/>
    <w:rsid w:val="005478BF"/>
    <w:rsid w:val="00547BA0"/>
    <w:rsid w:val="00547ECE"/>
    <w:rsid w:val="0055051F"/>
    <w:rsid w:val="005508EB"/>
    <w:rsid w:val="0055129A"/>
    <w:rsid w:val="005515B1"/>
    <w:rsid w:val="00551935"/>
    <w:rsid w:val="00551DC2"/>
    <w:rsid w:val="00552120"/>
    <w:rsid w:val="005523DC"/>
    <w:rsid w:val="0055296B"/>
    <w:rsid w:val="00552FDD"/>
    <w:rsid w:val="0055343C"/>
    <w:rsid w:val="00554036"/>
    <w:rsid w:val="00554444"/>
    <w:rsid w:val="00554593"/>
    <w:rsid w:val="00554754"/>
    <w:rsid w:val="00554764"/>
    <w:rsid w:val="00554817"/>
    <w:rsid w:val="0055531E"/>
    <w:rsid w:val="00555369"/>
    <w:rsid w:val="00555B61"/>
    <w:rsid w:val="00555BEA"/>
    <w:rsid w:val="00555C94"/>
    <w:rsid w:val="00556B65"/>
    <w:rsid w:val="00556E6D"/>
    <w:rsid w:val="00557199"/>
    <w:rsid w:val="00557D39"/>
    <w:rsid w:val="00557E3B"/>
    <w:rsid w:val="00557EDD"/>
    <w:rsid w:val="00557F24"/>
    <w:rsid w:val="00560408"/>
    <w:rsid w:val="00560927"/>
    <w:rsid w:val="00560DE7"/>
    <w:rsid w:val="00560E83"/>
    <w:rsid w:val="00561154"/>
    <w:rsid w:val="0056141F"/>
    <w:rsid w:val="0056145B"/>
    <w:rsid w:val="00561814"/>
    <w:rsid w:val="00561E0C"/>
    <w:rsid w:val="00562405"/>
    <w:rsid w:val="00563317"/>
    <w:rsid w:val="00563481"/>
    <w:rsid w:val="00563501"/>
    <w:rsid w:val="00563665"/>
    <w:rsid w:val="00563927"/>
    <w:rsid w:val="00563D55"/>
    <w:rsid w:val="00563F7F"/>
    <w:rsid w:val="00564180"/>
    <w:rsid w:val="005643CE"/>
    <w:rsid w:val="0056459F"/>
    <w:rsid w:val="00564A2A"/>
    <w:rsid w:val="00564ACB"/>
    <w:rsid w:val="005651C4"/>
    <w:rsid w:val="00565C5E"/>
    <w:rsid w:val="00565CE3"/>
    <w:rsid w:val="00565F2D"/>
    <w:rsid w:val="00566018"/>
    <w:rsid w:val="00566460"/>
    <w:rsid w:val="00566599"/>
    <w:rsid w:val="005669F0"/>
    <w:rsid w:val="00566ABD"/>
    <w:rsid w:val="00566FA5"/>
    <w:rsid w:val="0056702E"/>
    <w:rsid w:val="0056708F"/>
    <w:rsid w:val="0056722C"/>
    <w:rsid w:val="00567720"/>
    <w:rsid w:val="005678D8"/>
    <w:rsid w:val="0056790D"/>
    <w:rsid w:val="00567CA6"/>
    <w:rsid w:val="00567DCB"/>
    <w:rsid w:val="0057010F"/>
    <w:rsid w:val="00570155"/>
    <w:rsid w:val="005703CE"/>
    <w:rsid w:val="00570F57"/>
    <w:rsid w:val="005713A5"/>
    <w:rsid w:val="00571CAA"/>
    <w:rsid w:val="00571D3D"/>
    <w:rsid w:val="00571E89"/>
    <w:rsid w:val="005727E1"/>
    <w:rsid w:val="0057287C"/>
    <w:rsid w:val="0057293F"/>
    <w:rsid w:val="00572A6F"/>
    <w:rsid w:val="00572C1E"/>
    <w:rsid w:val="00572CF9"/>
    <w:rsid w:val="00572E67"/>
    <w:rsid w:val="00572F0B"/>
    <w:rsid w:val="00572FE7"/>
    <w:rsid w:val="00573BCD"/>
    <w:rsid w:val="00573F2D"/>
    <w:rsid w:val="00574002"/>
    <w:rsid w:val="00574261"/>
    <w:rsid w:val="0057466D"/>
    <w:rsid w:val="00575092"/>
    <w:rsid w:val="005753C2"/>
    <w:rsid w:val="005754C5"/>
    <w:rsid w:val="00575667"/>
    <w:rsid w:val="00575678"/>
    <w:rsid w:val="00575C77"/>
    <w:rsid w:val="00575CCD"/>
    <w:rsid w:val="005764ED"/>
    <w:rsid w:val="00576692"/>
    <w:rsid w:val="00576761"/>
    <w:rsid w:val="00576821"/>
    <w:rsid w:val="00576CF5"/>
    <w:rsid w:val="00576DD6"/>
    <w:rsid w:val="00576FF4"/>
    <w:rsid w:val="00577B1A"/>
    <w:rsid w:val="00580295"/>
    <w:rsid w:val="005810D6"/>
    <w:rsid w:val="00581374"/>
    <w:rsid w:val="00581498"/>
    <w:rsid w:val="00581632"/>
    <w:rsid w:val="00581F64"/>
    <w:rsid w:val="00582893"/>
    <w:rsid w:val="00582D72"/>
    <w:rsid w:val="005833E2"/>
    <w:rsid w:val="005833F7"/>
    <w:rsid w:val="005835A7"/>
    <w:rsid w:val="005839B3"/>
    <w:rsid w:val="00583C62"/>
    <w:rsid w:val="0058423A"/>
    <w:rsid w:val="005843AE"/>
    <w:rsid w:val="00584B07"/>
    <w:rsid w:val="00584C42"/>
    <w:rsid w:val="005850A1"/>
    <w:rsid w:val="0058519E"/>
    <w:rsid w:val="00585A18"/>
    <w:rsid w:val="005863B0"/>
    <w:rsid w:val="00586592"/>
    <w:rsid w:val="00586617"/>
    <w:rsid w:val="0058667D"/>
    <w:rsid w:val="00586930"/>
    <w:rsid w:val="00586937"/>
    <w:rsid w:val="005872F9"/>
    <w:rsid w:val="005903D6"/>
    <w:rsid w:val="005905C0"/>
    <w:rsid w:val="0059098F"/>
    <w:rsid w:val="00590D78"/>
    <w:rsid w:val="0059145F"/>
    <w:rsid w:val="00592364"/>
    <w:rsid w:val="0059243E"/>
    <w:rsid w:val="005926B9"/>
    <w:rsid w:val="00592778"/>
    <w:rsid w:val="005927B3"/>
    <w:rsid w:val="0059290C"/>
    <w:rsid w:val="00592963"/>
    <w:rsid w:val="005931DC"/>
    <w:rsid w:val="00593288"/>
    <w:rsid w:val="0059358F"/>
    <w:rsid w:val="00594120"/>
    <w:rsid w:val="00594142"/>
    <w:rsid w:val="00594345"/>
    <w:rsid w:val="00594804"/>
    <w:rsid w:val="005948B9"/>
    <w:rsid w:val="00594B92"/>
    <w:rsid w:val="00594D5E"/>
    <w:rsid w:val="00595075"/>
    <w:rsid w:val="0059550D"/>
    <w:rsid w:val="005958BA"/>
    <w:rsid w:val="00595982"/>
    <w:rsid w:val="005961E6"/>
    <w:rsid w:val="0059620C"/>
    <w:rsid w:val="005964E1"/>
    <w:rsid w:val="005964EF"/>
    <w:rsid w:val="005967F7"/>
    <w:rsid w:val="005970F7"/>
    <w:rsid w:val="005979B4"/>
    <w:rsid w:val="00597E6F"/>
    <w:rsid w:val="005A0614"/>
    <w:rsid w:val="005A07F8"/>
    <w:rsid w:val="005A0BC2"/>
    <w:rsid w:val="005A0D13"/>
    <w:rsid w:val="005A0EC9"/>
    <w:rsid w:val="005A1144"/>
    <w:rsid w:val="005A1321"/>
    <w:rsid w:val="005A1A8B"/>
    <w:rsid w:val="005A1AA6"/>
    <w:rsid w:val="005A20C6"/>
    <w:rsid w:val="005A2847"/>
    <w:rsid w:val="005A3E69"/>
    <w:rsid w:val="005A4135"/>
    <w:rsid w:val="005A4549"/>
    <w:rsid w:val="005A45E8"/>
    <w:rsid w:val="005A46A4"/>
    <w:rsid w:val="005A4970"/>
    <w:rsid w:val="005A4A4E"/>
    <w:rsid w:val="005A50EF"/>
    <w:rsid w:val="005A520B"/>
    <w:rsid w:val="005A52B2"/>
    <w:rsid w:val="005A5741"/>
    <w:rsid w:val="005A577A"/>
    <w:rsid w:val="005A5916"/>
    <w:rsid w:val="005A5B4A"/>
    <w:rsid w:val="005A5BA5"/>
    <w:rsid w:val="005A623D"/>
    <w:rsid w:val="005A68D5"/>
    <w:rsid w:val="005A6A17"/>
    <w:rsid w:val="005A6D40"/>
    <w:rsid w:val="005A6E21"/>
    <w:rsid w:val="005A70ED"/>
    <w:rsid w:val="005A72CC"/>
    <w:rsid w:val="005A7629"/>
    <w:rsid w:val="005A77B5"/>
    <w:rsid w:val="005A78A5"/>
    <w:rsid w:val="005A7B4B"/>
    <w:rsid w:val="005A7C73"/>
    <w:rsid w:val="005A7FA9"/>
    <w:rsid w:val="005B00FF"/>
    <w:rsid w:val="005B05E4"/>
    <w:rsid w:val="005B0CEB"/>
    <w:rsid w:val="005B1DB5"/>
    <w:rsid w:val="005B22DA"/>
    <w:rsid w:val="005B2C1F"/>
    <w:rsid w:val="005B3BD7"/>
    <w:rsid w:val="005B4000"/>
    <w:rsid w:val="005B4190"/>
    <w:rsid w:val="005B4493"/>
    <w:rsid w:val="005B45C1"/>
    <w:rsid w:val="005B4B54"/>
    <w:rsid w:val="005B54A6"/>
    <w:rsid w:val="005B54AC"/>
    <w:rsid w:val="005B5510"/>
    <w:rsid w:val="005B56A7"/>
    <w:rsid w:val="005B63F0"/>
    <w:rsid w:val="005B6877"/>
    <w:rsid w:val="005B68BE"/>
    <w:rsid w:val="005B6AB8"/>
    <w:rsid w:val="005B6D31"/>
    <w:rsid w:val="005B6DE3"/>
    <w:rsid w:val="005B717C"/>
    <w:rsid w:val="005B71F1"/>
    <w:rsid w:val="005B749F"/>
    <w:rsid w:val="005B7833"/>
    <w:rsid w:val="005B7AD6"/>
    <w:rsid w:val="005B7BF7"/>
    <w:rsid w:val="005B7CCA"/>
    <w:rsid w:val="005B7D79"/>
    <w:rsid w:val="005B7E5B"/>
    <w:rsid w:val="005B7F41"/>
    <w:rsid w:val="005B7FC1"/>
    <w:rsid w:val="005C017A"/>
    <w:rsid w:val="005C0341"/>
    <w:rsid w:val="005C04A5"/>
    <w:rsid w:val="005C0730"/>
    <w:rsid w:val="005C088B"/>
    <w:rsid w:val="005C091B"/>
    <w:rsid w:val="005C0CB7"/>
    <w:rsid w:val="005C0CD7"/>
    <w:rsid w:val="005C0CE7"/>
    <w:rsid w:val="005C17D4"/>
    <w:rsid w:val="005C17FE"/>
    <w:rsid w:val="005C1ABC"/>
    <w:rsid w:val="005C1E99"/>
    <w:rsid w:val="005C2AAE"/>
    <w:rsid w:val="005C33D9"/>
    <w:rsid w:val="005C3705"/>
    <w:rsid w:val="005C382F"/>
    <w:rsid w:val="005C3EDB"/>
    <w:rsid w:val="005C49C6"/>
    <w:rsid w:val="005C510C"/>
    <w:rsid w:val="005C5384"/>
    <w:rsid w:val="005C539F"/>
    <w:rsid w:val="005C56FC"/>
    <w:rsid w:val="005C5CB8"/>
    <w:rsid w:val="005C63A2"/>
    <w:rsid w:val="005C67E0"/>
    <w:rsid w:val="005C6858"/>
    <w:rsid w:val="005C6B46"/>
    <w:rsid w:val="005C6D3C"/>
    <w:rsid w:val="005C724C"/>
    <w:rsid w:val="005C76FC"/>
    <w:rsid w:val="005C7850"/>
    <w:rsid w:val="005C7BAB"/>
    <w:rsid w:val="005C7E89"/>
    <w:rsid w:val="005C7FD0"/>
    <w:rsid w:val="005D01E9"/>
    <w:rsid w:val="005D06AC"/>
    <w:rsid w:val="005D0F8F"/>
    <w:rsid w:val="005D0FE4"/>
    <w:rsid w:val="005D148A"/>
    <w:rsid w:val="005D1EF7"/>
    <w:rsid w:val="005D221B"/>
    <w:rsid w:val="005D24B5"/>
    <w:rsid w:val="005D26EE"/>
    <w:rsid w:val="005D300C"/>
    <w:rsid w:val="005D3067"/>
    <w:rsid w:val="005D360E"/>
    <w:rsid w:val="005D4269"/>
    <w:rsid w:val="005D53D3"/>
    <w:rsid w:val="005D641E"/>
    <w:rsid w:val="005D6514"/>
    <w:rsid w:val="005D6EFC"/>
    <w:rsid w:val="005D6F0A"/>
    <w:rsid w:val="005D753A"/>
    <w:rsid w:val="005D7C50"/>
    <w:rsid w:val="005D7E6F"/>
    <w:rsid w:val="005D7ED4"/>
    <w:rsid w:val="005E08B9"/>
    <w:rsid w:val="005E0A83"/>
    <w:rsid w:val="005E0E05"/>
    <w:rsid w:val="005E0ED3"/>
    <w:rsid w:val="005E1261"/>
    <w:rsid w:val="005E167D"/>
    <w:rsid w:val="005E1AEB"/>
    <w:rsid w:val="005E21F4"/>
    <w:rsid w:val="005E2401"/>
    <w:rsid w:val="005E2AE1"/>
    <w:rsid w:val="005E2DBF"/>
    <w:rsid w:val="005E2DE1"/>
    <w:rsid w:val="005E2E55"/>
    <w:rsid w:val="005E3034"/>
    <w:rsid w:val="005E31E6"/>
    <w:rsid w:val="005E3D81"/>
    <w:rsid w:val="005E3E36"/>
    <w:rsid w:val="005E42A1"/>
    <w:rsid w:val="005E4321"/>
    <w:rsid w:val="005E4358"/>
    <w:rsid w:val="005E44C1"/>
    <w:rsid w:val="005E44CB"/>
    <w:rsid w:val="005E452D"/>
    <w:rsid w:val="005E45F3"/>
    <w:rsid w:val="005E4DEF"/>
    <w:rsid w:val="005E4EA2"/>
    <w:rsid w:val="005E4F10"/>
    <w:rsid w:val="005E527F"/>
    <w:rsid w:val="005E533E"/>
    <w:rsid w:val="005E563B"/>
    <w:rsid w:val="005E582F"/>
    <w:rsid w:val="005E595C"/>
    <w:rsid w:val="005E5BBC"/>
    <w:rsid w:val="005E6074"/>
    <w:rsid w:val="005E666E"/>
    <w:rsid w:val="005E6B81"/>
    <w:rsid w:val="005E6EDF"/>
    <w:rsid w:val="005E72B7"/>
    <w:rsid w:val="005E746E"/>
    <w:rsid w:val="005E7651"/>
    <w:rsid w:val="005F0220"/>
    <w:rsid w:val="005F0918"/>
    <w:rsid w:val="005F0926"/>
    <w:rsid w:val="005F0CB4"/>
    <w:rsid w:val="005F0EAD"/>
    <w:rsid w:val="005F1349"/>
    <w:rsid w:val="005F16B7"/>
    <w:rsid w:val="005F1B33"/>
    <w:rsid w:val="005F23DB"/>
    <w:rsid w:val="005F270A"/>
    <w:rsid w:val="005F28DB"/>
    <w:rsid w:val="005F2B01"/>
    <w:rsid w:val="005F2C17"/>
    <w:rsid w:val="005F2F23"/>
    <w:rsid w:val="005F3524"/>
    <w:rsid w:val="005F359A"/>
    <w:rsid w:val="005F3640"/>
    <w:rsid w:val="005F3C78"/>
    <w:rsid w:val="005F3D2F"/>
    <w:rsid w:val="005F406F"/>
    <w:rsid w:val="005F42C8"/>
    <w:rsid w:val="005F460D"/>
    <w:rsid w:val="005F4A8F"/>
    <w:rsid w:val="005F4C77"/>
    <w:rsid w:val="005F4D95"/>
    <w:rsid w:val="005F4DF6"/>
    <w:rsid w:val="005F5192"/>
    <w:rsid w:val="005F540F"/>
    <w:rsid w:val="005F55CF"/>
    <w:rsid w:val="005F59E0"/>
    <w:rsid w:val="005F5E1E"/>
    <w:rsid w:val="005F61BC"/>
    <w:rsid w:val="005F69A9"/>
    <w:rsid w:val="005F6D60"/>
    <w:rsid w:val="005F6E87"/>
    <w:rsid w:val="005F7011"/>
    <w:rsid w:val="005F70C0"/>
    <w:rsid w:val="005F76F4"/>
    <w:rsid w:val="005F7DCE"/>
    <w:rsid w:val="005F7E3D"/>
    <w:rsid w:val="0060040B"/>
    <w:rsid w:val="006005E3"/>
    <w:rsid w:val="006009C0"/>
    <w:rsid w:val="00600BC5"/>
    <w:rsid w:val="00600CBF"/>
    <w:rsid w:val="00600CC6"/>
    <w:rsid w:val="0060138E"/>
    <w:rsid w:val="00601465"/>
    <w:rsid w:val="0060166D"/>
    <w:rsid w:val="00601673"/>
    <w:rsid w:val="0060167E"/>
    <w:rsid w:val="00601B1F"/>
    <w:rsid w:val="00601CF0"/>
    <w:rsid w:val="0060228C"/>
    <w:rsid w:val="00602A7B"/>
    <w:rsid w:val="00602DE8"/>
    <w:rsid w:val="0060339D"/>
    <w:rsid w:val="0060353E"/>
    <w:rsid w:val="00603677"/>
    <w:rsid w:val="0060387F"/>
    <w:rsid w:val="006038ED"/>
    <w:rsid w:val="00603E8D"/>
    <w:rsid w:val="00604303"/>
    <w:rsid w:val="006047A8"/>
    <w:rsid w:val="00604EF5"/>
    <w:rsid w:val="00605763"/>
    <w:rsid w:val="0060589B"/>
    <w:rsid w:val="00606441"/>
    <w:rsid w:val="00606D2E"/>
    <w:rsid w:val="00607239"/>
    <w:rsid w:val="00607386"/>
    <w:rsid w:val="00607AB5"/>
    <w:rsid w:val="00607AD2"/>
    <w:rsid w:val="00610315"/>
    <w:rsid w:val="00610415"/>
    <w:rsid w:val="00610483"/>
    <w:rsid w:val="0061061B"/>
    <w:rsid w:val="00610F80"/>
    <w:rsid w:val="00611185"/>
    <w:rsid w:val="0061165E"/>
    <w:rsid w:val="00611827"/>
    <w:rsid w:val="00611A6F"/>
    <w:rsid w:val="00611D18"/>
    <w:rsid w:val="00611EA4"/>
    <w:rsid w:val="00612BEE"/>
    <w:rsid w:val="006135ED"/>
    <w:rsid w:val="00613A39"/>
    <w:rsid w:val="00613AC4"/>
    <w:rsid w:val="00613ED1"/>
    <w:rsid w:val="0061440E"/>
    <w:rsid w:val="0061482C"/>
    <w:rsid w:val="00614EC8"/>
    <w:rsid w:val="00615125"/>
    <w:rsid w:val="00615429"/>
    <w:rsid w:val="00615611"/>
    <w:rsid w:val="00615C13"/>
    <w:rsid w:val="00616367"/>
    <w:rsid w:val="00616A3C"/>
    <w:rsid w:val="00616B10"/>
    <w:rsid w:val="00617210"/>
    <w:rsid w:val="006172A0"/>
    <w:rsid w:val="0061778E"/>
    <w:rsid w:val="00617C29"/>
    <w:rsid w:val="00617F5D"/>
    <w:rsid w:val="0062027E"/>
    <w:rsid w:val="00620383"/>
    <w:rsid w:val="00620984"/>
    <w:rsid w:val="00621180"/>
    <w:rsid w:val="00621280"/>
    <w:rsid w:val="006215C5"/>
    <w:rsid w:val="00621736"/>
    <w:rsid w:val="00621897"/>
    <w:rsid w:val="006219D7"/>
    <w:rsid w:val="006219F9"/>
    <w:rsid w:val="00621EC2"/>
    <w:rsid w:val="0062201F"/>
    <w:rsid w:val="006224A5"/>
    <w:rsid w:val="006225CC"/>
    <w:rsid w:val="00622EEC"/>
    <w:rsid w:val="006237F4"/>
    <w:rsid w:val="00623A5A"/>
    <w:rsid w:val="00624108"/>
    <w:rsid w:val="0062421F"/>
    <w:rsid w:val="006242C8"/>
    <w:rsid w:val="0062534E"/>
    <w:rsid w:val="0062569C"/>
    <w:rsid w:val="00625D66"/>
    <w:rsid w:val="006261C5"/>
    <w:rsid w:val="00626E1A"/>
    <w:rsid w:val="00626E1E"/>
    <w:rsid w:val="00626F47"/>
    <w:rsid w:val="00630246"/>
    <w:rsid w:val="0063026A"/>
    <w:rsid w:val="00630759"/>
    <w:rsid w:val="00630816"/>
    <w:rsid w:val="00630AC7"/>
    <w:rsid w:val="00630F69"/>
    <w:rsid w:val="00630FC6"/>
    <w:rsid w:val="0063118A"/>
    <w:rsid w:val="00631652"/>
    <w:rsid w:val="00631A6E"/>
    <w:rsid w:val="00631CE1"/>
    <w:rsid w:val="00631E13"/>
    <w:rsid w:val="00632106"/>
    <w:rsid w:val="006322A4"/>
    <w:rsid w:val="00632C29"/>
    <w:rsid w:val="00632F48"/>
    <w:rsid w:val="00633145"/>
    <w:rsid w:val="006338ED"/>
    <w:rsid w:val="006340D0"/>
    <w:rsid w:val="00634189"/>
    <w:rsid w:val="00634275"/>
    <w:rsid w:val="0063437C"/>
    <w:rsid w:val="006343C9"/>
    <w:rsid w:val="006345E8"/>
    <w:rsid w:val="00634B55"/>
    <w:rsid w:val="006352B0"/>
    <w:rsid w:val="006355A5"/>
    <w:rsid w:val="00635B02"/>
    <w:rsid w:val="00635EE2"/>
    <w:rsid w:val="00635EE9"/>
    <w:rsid w:val="0063601B"/>
    <w:rsid w:val="0063624C"/>
    <w:rsid w:val="00636513"/>
    <w:rsid w:val="006366E3"/>
    <w:rsid w:val="0063673A"/>
    <w:rsid w:val="00636CE2"/>
    <w:rsid w:val="00637073"/>
    <w:rsid w:val="006373B4"/>
    <w:rsid w:val="00637941"/>
    <w:rsid w:val="006403A2"/>
    <w:rsid w:val="006403DE"/>
    <w:rsid w:val="00641597"/>
    <w:rsid w:val="006415C4"/>
    <w:rsid w:val="006416B7"/>
    <w:rsid w:val="00641918"/>
    <w:rsid w:val="0064246C"/>
    <w:rsid w:val="00642792"/>
    <w:rsid w:val="0064298B"/>
    <w:rsid w:val="00642A7F"/>
    <w:rsid w:val="00642BC2"/>
    <w:rsid w:val="00642C89"/>
    <w:rsid w:val="0064309E"/>
    <w:rsid w:val="006430D4"/>
    <w:rsid w:val="006434F5"/>
    <w:rsid w:val="00643764"/>
    <w:rsid w:val="00643C2F"/>
    <w:rsid w:val="00644031"/>
    <w:rsid w:val="00644301"/>
    <w:rsid w:val="006443C9"/>
    <w:rsid w:val="0064482D"/>
    <w:rsid w:val="00644881"/>
    <w:rsid w:val="00644999"/>
    <w:rsid w:val="006449BB"/>
    <w:rsid w:val="00644CED"/>
    <w:rsid w:val="00644EFD"/>
    <w:rsid w:val="00644F2D"/>
    <w:rsid w:val="00645346"/>
    <w:rsid w:val="00645775"/>
    <w:rsid w:val="0064592E"/>
    <w:rsid w:val="0064662A"/>
    <w:rsid w:val="00646DC8"/>
    <w:rsid w:val="006472D4"/>
    <w:rsid w:val="006477FE"/>
    <w:rsid w:val="00647FAC"/>
    <w:rsid w:val="00650638"/>
    <w:rsid w:val="00650956"/>
    <w:rsid w:val="00650B01"/>
    <w:rsid w:val="00650DF0"/>
    <w:rsid w:val="0065124A"/>
    <w:rsid w:val="0065133E"/>
    <w:rsid w:val="00651E60"/>
    <w:rsid w:val="00651F3D"/>
    <w:rsid w:val="00651F4C"/>
    <w:rsid w:val="00652021"/>
    <w:rsid w:val="00652456"/>
    <w:rsid w:val="00652C30"/>
    <w:rsid w:val="00652F57"/>
    <w:rsid w:val="00653167"/>
    <w:rsid w:val="00653405"/>
    <w:rsid w:val="00653C33"/>
    <w:rsid w:val="00653D28"/>
    <w:rsid w:val="00653EB1"/>
    <w:rsid w:val="006540C8"/>
    <w:rsid w:val="0065428B"/>
    <w:rsid w:val="006544FF"/>
    <w:rsid w:val="006546D2"/>
    <w:rsid w:val="00654751"/>
    <w:rsid w:val="00654E73"/>
    <w:rsid w:val="006551C4"/>
    <w:rsid w:val="00655217"/>
    <w:rsid w:val="006556DC"/>
    <w:rsid w:val="00655866"/>
    <w:rsid w:val="006559EE"/>
    <w:rsid w:val="00655DD1"/>
    <w:rsid w:val="00655F24"/>
    <w:rsid w:val="00655FE2"/>
    <w:rsid w:val="006562B8"/>
    <w:rsid w:val="006563B3"/>
    <w:rsid w:val="0065662A"/>
    <w:rsid w:val="00656770"/>
    <w:rsid w:val="00656EFB"/>
    <w:rsid w:val="00656FC8"/>
    <w:rsid w:val="006573FE"/>
    <w:rsid w:val="00657802"/>
    <w:rsid w:val="00657C03"/>
    <w:rsid w:val="00657C67"/>
    <w:rsid w:val="00657CB0"/>
    <w:rsid w:val="006601DD"/>
    <w:rsid w:val="006601E7"/>
    <w:rsid w:val="00660372"/>
    <w:rsid w:val="006603D4"/>
    <w:rsid w:val="00660835"/>
    <w:rsid w:val="00660B07"/>
    <w:rsid w:val="00660CCB"/>
    <w:rsid w:val="00660FE7"/>
    <w:rsid w:val="006613FD"/>
    <w:rsid w:val="00661B48"/>
    <w:rsid w:val="00661EE0"/>
    <w:rsid w:val="0066281E"/>
    <w:rsid w:val="006629FC"/>
    <w:rsid w:val="00662B1E"/>
    <w:rsid w:val="00663145"/>
    <w:rsid w:val="0066349C"/>
    <w:rsid w:val="0066509B"/>
    <w:rsid w:val="006654F6"/>
    <w:rsid w:val="0066593B"/>
    <w:rsid w:val="00665A17"/>
    <w:rsid w:val="00665D97"/>
    <w:rsid w:val="00666110"/>
    <w:rsid w:val="00666162"/>
    <w:rsid w:val="0066679A"/>
    <w:rsid w:val="00666866"/>
    <w:rsid w:val="006668B8"/>
    <w:rsid w:val="00666ED9"/>
    <w:rsid w:val="00667077"/>
    <w:rsid w:val="00667FA0"/>
    <w:rsid w:val="0067014F"/>
    <w:rsid w:val="00670331"/>
    <w:rsid w:val="00670611"/>
    <w:rsid w:val="00670ECF"/>
    <w:rsid w:val="006712A0"/>
    <w:rsid w:val="00671963"/>
    <w:rsid w:val="00671B4D"/>
    <w:rsid w:val="00671F25"/>
    <w:rsid w:val="00671F3B"/>
    <w:rsid w:val="00671F86"/>
    <w:rsid w:val="006720E2"/>
    <w:rsid w:val="00672F97"/>
    <w:rsid w:val="00673350"/>
    <w:rsid w:val="0067362B"/>
    <w:rsid w:val="006736CD"/>
    <w:rsid w:val="00673913"/>
    <w:rsid w:val="00673BE6"/>
    <w:rsid w:val="00673C0F"/>
    <w:rsid w:val="006743D6"/>
    <w:rsid w:val="006744CD"/>
    <w:rsid w:val="0067496D"/>
    <w:rsid w:val="006749A1"/>
    <w:rsid w:val="006749BE"/>
    <w:rsid w:val="00674DB9"/>
    <w:rsid w:val="00675020"/>
    <w:rsid w:val="006754D7"/>
    <w:rsid w:val="00675759"/>
    <w:rsid w:val="00675769"/>
    <w:rsid w:val="00675796"/>
    <w:rsid w:val="006757A1"/>
    <w:rsid w:val="00675CCF"/>
    <w:rsid w:val="00676075"/>
    <w:rsid w:val="006763FD"/>
    <w:rsid w:val="00676421"/>
    <w:rsid w:val="006770B2"/>
    <w:rsid w:val="00677303"/>
    <w:rsid w:val="006777B4"/>
    <w:rsid w:val="006778A6"/>
    <w:rsid w:val="00677BA2"/>
    <w:rsid w:val="00677CD4"/>
    <w:rsid w:val="00677D40"/>
    <w:rsid w:val="00677DC9"/>
    <w:rsid w:val="00680002"/>
    <w:rsid w:val="00680299"/>
    <w:rsid w:val="00680BE7"/>
    <w:rsid w:val="00680E64"/>
    <w:rsid w:val="00680F3C"/>
    <w:rsid w:val="0068100C"/>
    <w:rsid w:val="0068101F"/>
    <w:rsid w:val="00681B36"/>
    <w:rsid w:val="00681BFB"/>
    <w:rsid w:val="00682380"/>
    <w:rsid w:val="006826E2"/>
    <w:rsid w:val="006827FB"/>
    <w:rsid w:val="0068291C"/>
    <w:rsid w:val="00682BFD"/>
    <w:rsid w:val="006831AA"/>
    <w:rsid w:val="0068382D"/>
    <w:rsid w:val="00683AD3"/>
    <w:rsid w:val="00683F05"/>
    <w:rsid w:val="006840AF"/>
    <w:rsid w:val="006846EF"/>
    <w:rsid w:val="006848E3"/>
    <w:rsid w:val="006849C9"/>
    <w:rsid w:val="00685057"/>
    <w:rsid w:val="00685595"/>
    <w:rsid w:val="00685683"/>
    <w:rsid w:val="00685C7B"/>
    <w:rsid w:val="00685F2C"/>
    <w:rsid w:val="006864CD"/>
    <w:rsid w:val="0068678A"/>
    <w:rsid w:val="00687150"/>
    <w:rsid w:val="006877C1"/>
    <w:rsid w:val="006879BA"/>
    <w:rsid w:val="00687C15"/>
    <w:rsid w:val="0069077A"/>
    <w:rsid w:val="0069191D"/>
    <w:rsid w:val="00691AC4"/>
    <w:rsid w:val="00691D72"/>
    <w:rsid w:val="006928A9"/>
    <w:rsid w:val="00692CF8"/>
    <w:rsid w:val="00692F31"/>
    <w:rsid w:val="006933A9"/>
    <w:rsid w:val="006939A2"/>
    <w:rsid w:val="006939A3"/>
    <w:rsid w:val="00694465"/>
    <w:rsid w:val="00694B6B"/>
    <w:rsid w:val="00694B92"/>
    <w:rsid w:val="00694BE8"/>
    <w:rsid w:val="00694ED8"/>
    <w:rsid w:val="00695C06"/>
    <w:rsid w:val="00695EE9"/>
    <w:rsid w:val="006960A5"/>
    <w:rsid w:val="0069610B"/>
    <w:rsid w:val="0069621C"/>
    <w:rsid w:val="00696B01"/>
    <w:rsid w:val="00696BC5"/>
    <w:rsid w:val="00697239"/>
    <w:rsid w:val="00697671"/>
    <w:rsid w:val="00697C85"/>
    <w:rsid w:val="00697F7C"/>
    <w:rsid w:val="006A00C3"/>
    <w:rsid w:val="006A0231"/>
    <w:rsid w:val="006A08D8"/>
    <w:rsid w:val="006A0FC1"/>
    <w:rsid w:val="006A0FED"/>
    <w:rsid w:val="006A128E"/>
    <w:rsid w:val="006A19F9"/>
    <w:rsid w:val="006A1DCF"/>
    <w:rsid w:val="006A207C"/>
    <w:rsid w:val="006A23D2"/>
    <w:rsid w:val="006A2731"/>
    <w:rsid w:val="006A2B2A"/>
    <w:rsid w:val="006A2E6A"/>
    <w:rsid w:val="006A30A5"/>
    <w:rsid w:val="006A3E6D"/>
    <w:rsid w:val="006A41A3"/>
    <w:rsid w:val="006A4597"/>
    <w:rsid w:val="006A47F3"/>
    <w:rsid w:val="006A4DF7"/>
    <w:rsid w:val="006A5540"/>
    <w:rsid w:val="006A57A9"/>
    <w:rsid w:val="006A5BA3"/>
    <w:rsid w:val="006A5DB3"/>
    <w:rsid w:val="006A613B"/>
    <w:rsid w:val="006A62A9"/>
    <w:rsid w:val="006A6376"/>
    <w:rsid w:val="006A6FBF"/>
    <w:rsid w:val="006A7414"/>
    <w:rsid w:val="006A7B3B"/>
    <w:rsid w:val="006B00A8"/>
    <w:rsid w:val="006B00DD"/>
    <w:rsid w:val="006B00DE"/>
    <w:rsid w:val="006B03BA"/>
    <w:rsid w:val="006B0464"/>
    <w:rsid w:val="006B04C2"/>
    <w:rsid w:val="006B08A7"/>
    <w:rsid w:val="006B0A3D"/>
    <w:rsid w:val="006B0DA3"/>
    <w:rsid w:val="006B0F1A"/>
    <w:rsid w:val="006B1400"/>
    <w:rsid w:val="006B1800"/>
    <w:rsid w:val="006B1F31"/>
    <w:rsid w:val="006B1F9C"/>
    <w:rsid w:val="006B2346"/>
    <w:rsid w:val="006B2585"/>
    <w:rsid w:val="006B27EA"/>
    <w:rsid w:val="006B2AE2"/>
    <w:rsid w:val="006B2D07"/>
    <w:rsid w:val="006B2D20"/>
    <w:rsid w:val="006B347C"/>
    <w:rsid w:val="006B371F"/>
    <w:rsid w:val="006B3DE9"/>
    <w:rsid w:val="006B4617"/>
    <w:rsid w:val="006B4860"/>
    <w:rsid w:val="006B49E1"/>
    <w:rsid w:val="006B4CAA"/>
    <w:rsid w:val="006B4D65"/>
    <w:rsid w:val="006B4DD5"/>
    <w:rsid w:val="006B5233"/>
    <w:rsid w:val="006B57CF"/>
    <w:rsid w:val="006B582D"/>
    <w:rsid w:val="006B6104"/>
    <w:rsid w:val="006B613D"/>
    <w:rsid w:val="006B633D"/>
    <w:rsid w:val="006B657A"/>
    <w:rsid w:val="006B6770"/>
    <w:rsid w:val="006B69DA"/>
    <w:rsid w:val="006B6BE3"/>
    <w:rsid w:val="006B6D38"/>
    <w:rsid w:val="006B7356"/>
    <w:rsid w:val="006B7BBE"/>
    <w:rsid w:val="006C0295"/>
    <w:rsid w:val="006C0384"/>
    <w:rsid w:val="006C03BE"/>
    <w:rsid w:val="006C07FC"/>
    <w:rsid w:val="006C0FEA"/>
    <w:rsid w:val="006C1061"/>
    <w:rsid w:val="006C1265"/>
    <w:rsid w:val="006C14B8"/>
    <w:rsid w:val="006C1576"/>
    <w:rsid w:val="006C1969"/>
    <w:rsid w:val="006C19C4"/>
    <w:rsid w:val="006C1C8F"/>
    <w:rsid w:val="006C1F1E"/>
    <w:rsid w:val="006C2BE9"/>
    <w:rsid w:val="006C303B"/>
    <w:rsid w:val="006C317C"/>
    <w:rsid w:val="006C3694"/>
    <w:rsid w:val="006C3830"/>
    <w:rsid w:val="006C39F0"/>
    <w:rsid w:val="006C4B24"/>
    <w:rsid w:val="006C4BA6"/>
    <w:rsid w:val="006C4F43"/>
    <w:rsid w:val="006C54E8"/>
    <w:rsid w:val="006C5BCF"/>
    <w:rsid w:val="006C5C54"/>
    <w:rsid w:val="006C641B"/>
    <w:rsid w:val="006C6716"/>
    <w:rsid w:val="006C7374"/>
    <w:rsid w:val="006C78DE"/>
    <w:rsid w:val="006C79CE"/>
    <w:rsid w:val="006C7CA5"/>
    <w:rsid w:val="006D01F4"/>
    <w:rsid w:val="006D05A6"/>
    <w:rsid w:val="006D05B9"/>
    <w:rsid w:val="006D0719"/>
    <w:rsid w:val="006D080F"/>
    <w:rsid w:val="006D1A0B"/>
    <w:rsid w:val="006D1D44"/>
    <w:rsid w:val="006D1F75"/>
    <w:rsid w:val="006D224C"/>
    <w:rsid w:val="006D27D5"/>
    <w:rsid w:val="006D2A87"/>
    <w:rsid w:val="006D36E8"/>
    <w:rsid w:val="006D3E6A"/>
    <w:rsid w:val="006D4577"/>
    <w:rsid w:val="006D4A44"/>
    <w:rsid w:val="006D50BB"/>
    <w:rsid w:val="006D530A"/>
    <w:rsid w:val="006D5381"/>
    <w:rsid w:val="006D5926"/>
    <w:rsid w:val="006D5E53"/>
    <w:rsid w:val="006D608C"/>
    <w:rsid w:val="006D614B"/>
    <w:rsid w:val="006D6685"/>
    <w:rsid w:val="006D6918"/>
    <w:rsid w:val="006D70F5"/>
    <w:rsid w:val="006D7455"/>
    <w:rsid w:val="006D772C"/>
    <w:rsid w:val="006D796E"/>
    <w:rsid w:val="006D7CDF"/>
    <w:rsid w:val="006D7DC0"/>
    <w:rsid w:val="006D7F32"/>
    <w:rsid w:val="006E000E"/>
    <w:rsid w:val="006E0350"/>
    <w:rsid w:val="006E04CA"/>
    <w:rsid w:val="006E04CF"/>
    <w:rsid w:val="006E06AA"/>
    <w:rsid w:val="006E09CE"/>
    <w:rsid w:val="006E09E7"/>
    <w:rsid w:val="006E0BA5"/>
    <w:rsid w:val="006E0F76"/>
    <w:rsid w:val="006E1539"/>
    <w:rsid w:val="006E172C"/>
    <w:rsid w:val="006E2628"/>
    <w:rsid w:val="006E2640"/>
    <w:rsid w:val="006E2CC1"/>
    <w:rsid w:val="006E3210"/>
    <w:rsid w:val="006E3AB9"/>
    <w:rsid w:val="006E41CD"/>
    <w:rsid w:val="006E45A7"/>
    <w:rsid w:val="006E4A7A"/>
    <w:rsid w:val="006E4D51"/>
    <w:rsid w:val="006E50B0"/>
    <w:rsid w:val="006E51D7"/>
    <w:rsid w:val="006E5284"/>
    <w:rsid w:val="006E552C"/>
    <w:rsid w:val="006E58F1"/>
    <w:rsid w:val="006E5D23"/>
    <w:rsid w:val="006E5EC6"/>
    <w:rsid w:val="006E5FD4"/>
    <w:rsid w:val="006E6068"/>
    <w:rsid w:val="006E6318"/>
    <w:rsid w:val="006E6334"/>
    <w:rsid w:val="006E68CD"/>
    <w:rsid w:val="006E6A23"/>
    <w:rsid w:val="006E6C20"/>
    <w:rsid w:val="006E6CFF"/>
    <w:rsid w:val="006E70CE"/>
    <w:rsid w:val="006E71FA"/>
    <w:rsid w:val="006E7844"/>
    <w:rsid w:val="006E7C22"/>
    <w:rsid w:val="006E7D82"/>
    <w:rsid w:val="006F0125"/>
    <w:rsid w:val="006F03B6"/>
    <w:rsid w:val="006F0721"/>
    <w:rsid w:val="006F0C96"/>
    <w:rsid w:val="006F0F15"/>
    <w:rsid w:val="006F10CF"/>
    <w:rsid w:val="006F1604"/>
    <w:rsid w:val="006F1616"/>
    <w:rsid w:val="006F1B41"/>
    <w:rsid w:val="006F1D62"/>
    <w:rsid w:val="006F1E39"/>
    <w:rsid w:val="006F1F9D"/>
    <w:rsid w:val="006F23B0"/>
    <w:rsid w:val="006F2404"/>
    <w:rsid w:val="006F25FA"/>
    <w:rsid w:val="006F2AC8"/>
    <w:rsid w:val="006F2E66"/>
    <w:rsid w:val="006F317A"/>
    <w:rsid w:val="006F3677"/>
    <w:rsid w:val="006F3B99"/>
    <w:rsid w:val="006F3C56"/>
    <w:rsid w:val="006F3EDF"/>
    <w:rsid w:val="006F4AA6"/>
    <w:rsid w:val="006F51F2"/>
    <w:rsid w:val="006F5547"/>
    <w:rsid w:val="006F60A3"/>
    <w:rsid w:val="006F62A9"/>
    <w:rsid w:val="006F6452"/>
    <w:rsid w:val="006F6A2F"/>
    <w:rsid w:val="006F6F49"/>
    <w:rsid w:val="006F7153"/>
    <w:rsid w:val="006F7409"/>
    <w:rsid w:val="006F76EA"/>
    <w:rsid w:val="006F7790"/>
    <w:rsid w:val="006F7C6F"/>
    <w:rsid w:val="007001FB"/>
    <w:rsid w:val="00700235"/>
    <w:rsid w:val="00700240"/>
    <w:rsid w:val="007008C0"/>
    <w:rsid w:val="00700A15"/>
    <w:rsid w:val="00700AFF"/>
    <w:rsid w:val="00700BE5"/>
    <w:rsid w:val="00701221"/>
    <w:rsid w:val="007015DF"/>
    <w:rsid w:val="007019F6"/>
    <w:rsid w:val="007021B5"/>
    <w:rsid w:val="00702495"/>
    <w:rsid w:val="00702906"/>
    <w:rsid w:val="00702B1C"/>
    <w:rsid w:val="00702D7A"/>
    <w:rsid w:val="00702DD7"/>
    <w:rsid w:val="00702E67"/>
    <w:rsid w:val="0070323B"/>
    <w:rsid w:val="00703476"/>
    <w:rsid w:val="007035B1"/>
    <w:rsid w:val="00703B65"/>
    <w:rsid w:val="0070464A"/>
    <w:rsid w:val="0070499C"/>
    <w:rsid w:val="00704F0F"/>
    <w:rsid w:val="00704F16"/>
    <w:rsid w:val="007051C6"/>
    <w:rsid w:val="007052DE"/>
    <w:rsid w:val="00705892"/>
    <w:rsid w:val="00705C2B"/>
    <w:rsid w:val="00705EAE"/>
    <w:rsid w:val="00705EEF"/>
    <w:rsid w:val="00705F6F"/>
    <w:rsid w:val="0070628A"/>
    <w:rsid w:val="0070664D"/>
    <w:rsid w:val="00706D0C"/>
    <w:rsid w:val="00706E97"/>
    <w:rsid w:val="007079D5"/>
    <w:rsid w:val="00707D6F"/>
    <w:rsid w:val="00707E84"/>
    <w:rsid w:val="00710765"/>
    <w:rsid w:val="00710B8E"/>
    <w:rsid w:val="00710FC9"/>
    <w:rsid w:val="00711270"/>
    <w:rsid w:val="00712544"/>
    <w:rsid w:val="007128A7"/>
    <w:rsid w:val="007129D3"/>
    <w:rsid w:val="00712C4D"/>
    <w:rsid w:val="00713032"/>
    <w:rsid w:val="0071333C"/>
    <w:rsid w:val="00713376"/>
    <w:rsid w:val="00713CA7"/>
    <w:rsid w:val="0071425A"/>
    <w:rsid w:val="0071470B"/>
    <w:rsid w:val="00714A75"/>
    <w:rsid w:val="00714D07"/>
    <w:rsid w:val="00714E4D"/>
    <w:rsid w:val="00714F61"/>
    <w:rsid w:val="00715277"/>
    <w:rsid w:val="00715482"/>
    <w:rsid w:val="0071555F"/>
    <w:rsid w:val="00715704"/>
    <w:rsid w:val="0071591E"/>
    <w:rsid w:val="007159A1"/>
    <w:rsid w:val="00715A36"/>
    <w:rsid w:val="00715EB6"/>
    <w:rsid w:val="00716A39"/>
    <w:rsid w:val="00716B13"/>
    <w:rsid w:val="0071705B"/>
    <w:rsid w:val="00717386"/>
    <w:rsid w:val="00717D21"/>
    <w:rsid w:val="007205A7"/>
    <w:rsid w:val="00720C9B"/>
    <w:rsid w:val="007212F8"/>
    <w:rsid w:val="007214CA"/>
    <w:rsid w:val="00721769"/>
    <w:rsid w:val="00721B0E"/>
    <w:rsid w:val="00721EC6"/>
    <w:rsid w:val="00721F24"/>
    <w:rsid w:val="00722370"/>
    <w:rsid w:val="00722FAA"/>
    <w:rsid w:val="00723086"/>
    <w:rsid w:val="007230AC"/>
    <w:rsid w:val="007230D6"/>
    <w:rsid w:val="0072343E"/>
    <w:rsid w:val="00723504"/>
    <w:rsid w:val="007236B0"/>
    <w:rsid w:val="00723A56"/>
    <w:rsid w:val="00723A59"/>
    <w:rsid w:val="00723B96"/>
    <w:rsid w:val="00723FF3"/>
    <w:rsid w:val="00724048"/>
    <w:rsid w:val="007245E5"/>
    <w:rsid w:val="00724FD0"/>
    <w:rsid w:val="007254B9"/>
    <w:rsid w:val="00725ABA"/>
    <w:rsid w:val="00725D2D"/>
    <w:rsid w:val="00726585"/>
    <w:rsid w:val="007266C7"/>
    <w:rsid w:val="00726C1F"/>
    <w:rsid w:val="00726F8A"/>
    <w:rsid w:val="007274BF"/>
    <w:rsid w:val="00727709"/>
    <w:rsid w:val="00727D87"/>
    <w:rsid w:val="00727FAC"/>
    <w:rsid w:val="00730112"/>
    <w:rsid w:val="007302CE"/>
    <w:rsid w:val="007303BD"/>
    <w:rsid w:val="007306B4"/>
    <w:rsid w:val="00730ECB"/>
    <w:rsid w:val="007312A3"/>
    <w:rsid w:val="007313A1"/>
    <w:rsid w:val="007315E7"/>
    <w:rsid w:val="0073205F"/>
    <w:rsid w:val="007323E1"/>
    <w:rsid w:val="0073242A"/>
    <w:rsid w:val="0073248C"/>
    <w:rsid w:val="00732B34"/>
    <w:rsid w:val="0073304F"/>
    <w:rsid w:val="00733092"/>
    <w:rsid w:val="00733286"/>
    <w:rsid w:val="0073342F"/>
    <w:rsid w:val="00733620"/>
    <w:rsid w:val="00733E6B"/>
    <w:rsid w:val="0073425E"/>
    <w:rsid w:val="0073428F"/>
    <w:rsid w:val="007347F2"/>
    <w:rsid w:val="007354EE"/>
    <w:rsid w:val="0073555C"/>
    <w:rsid w:val="007358F5"/>
    <w:rsid w:val="007359F4"/>
    <w:rsid w:val="00735DD1"/>
    <w:rsid w:val="00736984"/>
    <w:rsid w:val="007376D4"/>
    <w:rsid w:val="00737888"/>
    <w:rsid w:val="00737C3D"/>
    <w:rsid w:val="007403B1"/>
    <w:rsid w:val="00740B0E"/>
    <w:rsid w:val="007413CF"/>
    <w:rsid w:val="0074165A"/>
    <w:rsid w:val="0074187D"/>
    <w:rsid w:val="007427C0"/>
    <w:rsid w:val="00742DC4"/>
    <w:rsid w:val="007431DE"/>
    <w:rsid w:val="007432B7"/>
    <w:rsid w:val="00743C38"/>
    <w:rsid w:val="0074466D"/>
    <w:rsid w:val="007446F0"/>
    <w:rsid w:val="00744D17"/>
    <w:rsid w:val="00745181"/>
    <w:rsid w:val="00745F42"/>
    <w:rsid w:val="0074623B"/>
    <w:rsid w:val="007468C3"/>
    <w:rsid w:val="00746B97"/>
    <w:rsid w:val="007475EE"/>
    <w:rsid w:val="007479E6"/>
    <w:rsid w:val="00747CEE"/>
    <w:rsid w:val="0075028C"/>
    <w:rsid w:val="007503F0"/>
    <w:rsid w:val="00750C9E"/>
    <w:rsid w:val="00750F97"/>
    <w:rsid w:val="00750FCE"/>
    <w:rsid w:val="007512FC"/>
    <w:rsid w:val="007513FE"/>
    <w:rsid w:val="007517F9"/>
    <w:rsid w:val="007518DF"/>
    <w:rsid w:val="007518E1"/>
    <w:rsid w:val="00751B11"/>
    <w:rsid w:val="00751CE5"/>
    <w:rsid w:val="00752658"/>
    <w:rsid w:val="00752740"/>
    <w:rsid w:val="00753A06"/>
    <w:rsid w:val="00753FA5"/>
    <w:rsid w:val="00754119"/>
    <w:rsid w:val="00754534"/>
    <w:rsid w:val="0075455D"/>
    <w:rsid w:val="00754837"/>
    <w:rsid w:val="00754AF3"/>
    <w:rsid w:val="00755759"/>
    <w:rsid w:val="007559F9"/>
    <w:rsid w:val="00756903"/>
    <w:rsid w:val="00756C91"/>
    <w:rsid w:val="00756EBE"/>
    <w:rsid w:val="007579B0"/>
    <w:rsid w:val="00760373"/>
    <w:rsid w:val="00760950"/>
    <w:rsid w:val="00760975"/>
    <w:rsid w:val="00760B47"/>
    <w:rsid w:val="00760E4D"/>
    <w:rsid w:val="00760F41"/>
    <w:rsid w:val="00760F94"/>
    <w:rsid w:val="007611CE"/>
    <w:rsid w:val="00761877"/>
    <w:rsid w:val="007618E0"/>
    <w:rsid w:val="007618FC"/>
    <w:rsid w:val="00761A86"/>
    <w:rsid w:val="00761C78"/>
    <w:rsid w:val="00761EC1"/>
    <w:rsid w:val="007625D3"/>
    <w:rsid w:val="007628DB"/>
    <w:rsid w:val="00762915"/>
    <w:rsid w:val="007629BF"/>
    <w:rsid w:val="00762C18"/>
    <w:rsid w:val="007630C6"/>
    <w:rsid w:val="007632CA"/>
    <w:rsid w:val="00763678"/>
    <w:rsid w:val="00763893"/>
    <w:rsid w:val="007639B7"/>
    <w:rsid w:val="00763A35"/>
    <w:rsid w:val="00763E30"/>
    <w:rsid w:val="00763E4F"/>
    <w:rsid w:val="00763E76"/>
    <w:rsid w:val="007640B4"/>
    <w:rsid w:val="0076436A"/>
    <w:rsid w:val="00764CDC"/>
    <w:rsid w:val="00764F30"/>
    <w:rsid w:val="007650ED"/>
    <w:rsid w:val="007652D8"/>
    <w:rsid w:val="00765C03"/>
    <w:rsid w:val="00765C82"/>
    <w:rsid w:val="007660FE"/>
    <w:rsid w:val="00766115"/>
    <w:rsid w:val="0076615E"/>
    <w:rsid w:val="0076638F"/>
    <w:rsid w:val="007663F8"/>
    <w:rsid w:val="00766581"/>
    <w:rsid w:val="007667D3"/>
    <w:rsid w:val="00766FEE"/>
    <w:rsid w:val="0076713B"/>
    <w:rsid w:val="007672BE"/>
    <w:rsid w:val="00767890"/>
    <w:rsid w:val="007679B1"/>
    <w:rsid w:val="00767B35"/>
    <w:rsid w:val="0077070E"/>
    <w:rsid w:val="007709A7"/>
    <w:rsid w:val="00770B1C"/>
    <w:rsid w:val="00770FF2"/>
    <w:rsid w:val="00771103"/>
    <w:rsid w:val="007712FC"/>
    <w:rsid w:val="007715B9"/>
    <w:rsid w:val="00771625"/>
    <w:rsid w:val="0077172A"/>
    <w:rsid w:val="00771795"/>
    <w:rsid w:val="00771BA7"/>
    <w:rsid w:val="00771E59"/>
    <w:rsid w:val="0077271D"/>
    <w:rsid w:val="00772B8A"/>
    <w:rsid w:val="00772CDF"/>
    <w:rsid w:val="00772F74"/>
    <w:rsid w:val="00773386"/>
    <w:rsid w:val="007733D8"/>
    <w:rsid w:val="007739BD"/>
    <w:rsid w:val="00773A2F"/>
    <w:rsid w:val="00773C2E"/>
    <w:rsid w:val="0077430C"/>
    <w:rsid w:val="007744B4"/>
    <w:rsid w:val="007745A5"/>
    <w:rsid w:val="007746B5"/>
    <w:rsid w:val="00774C22"/>
    <w:rsid w:val="00774F60"/>
    <w:rsid w:val="00775061"/>
    <w:rsid w:val="007755BD"/>
    <w:rsid w:val="00775D07"/>
    <w:rsid w:val="00776092"/>
    <w:rsid w:val="0077626F"/>
    <w:rsid w:val="00776294"/>
    <w:rsid w:val="00776928"/>
    <w:rsid w:val="00776BA6"/>
    <w:rsid w:val="00776BC9"/>
    <w:rsid w:val="00777302"/>
    <w:rsid w:val="0077787C"/>
    <w:rsid w:val="007802CE"/>
    <w:rsid w:val="00780548"/>
    <w:rsid w:val="007806EF"/>
    <w:rsid w:val="00780949"/>
    <w:rsid w:val="007816A2"/>
    <w:rsid w:val="007816C1"/>
    <w:rsid w:val="00781C9E"/>
    <w:rsid w:val="00781DAD"/>
    <w:rsid w:val="00783591"/>
    <w:rsid w:val="007835EF"/>
    <w:rsid w:val="007837CD"/>
    <w:rsid w:val="00783B7D"/>
    <w:rsid w:val="00783CB6"/>
    <w:rsid w:val="00783D10"/>
    <w:rsid w:val="00783E24"/>
    <w:rsid w:val="00783F0C"/>
    <w:rsid w:val="00783F7F"/>
    <w:rsid w:val="00783FE3"/>
    <w:rsid w:val="00784268"/>
    <w:rsid w:val="007844A4"/>
    <w:rsid w:val="00784855"/>
    <w:rsid w:val="00784944"/>
    <w:rsid w:val="00784BB8"/>
    <w:rsid w:val="00784F33"/>
    <w:rsid w:val="00785026"/>
    <w:rsid w:val="0078502D"/>
    <w:rsid w:val="0078519E"/>
    <w:rsid w:val="0078544E"/>
    <w:rsid w:val="0078572E"/>
    <w:rsid w:val="007866F0"/>
    <w:rsid w:val="00786A7E"/>
    <w:rsid w:val="00786F7F"/>
    <w:rsid w:val="007870C0"/>
    <w:rsid w:val="007878DA"/>
    <w:rsid w:val="00787B7C"/>
    <w:rsid w:val="00790344"/>
    <w:rsid w:val="00790DFF"/>
    <w:rsid w:val="0079131B"/>
    <w:rsid w:val="00791A41"/>
    <w:rsid w:val="00791C8B"/>
    <w:rsid w:val="007926CE"/>
    <w:rsid w:val="00792714"/>
    <w:rsid w:val="00792A8E"/>
    <w:rsid w:val="00792C4B"/>
    <w:rsid w:val="00792DFE"/>
    <w:rsid w:val="00793283"/>
    <w:rsid w:val="0079331F"/>
    <w:rsid w:val="007933F0"/>
    <w:rsid w:val="00793418"/>
    <w:rsid w:val="00793477"/>
    <w:rsid w:val="00793602"/>
    <w:rsid w:val="00793814"/>
    <w:rsid w:val="00793CC7"/>
    <w:rsid w:val="00793E17"/>
    <w:rsid w:val="00793F2F"/>
    <w:rsid w:val="00794277"/>
    <w:rsid w:val="007944E6"/>
    <w:rsid w:val="0079540E"/>
    <w:rsid w:val="0079575E"/>
    <w:rsid w:val="00795CD4"/>
    <w:rsid w:val="00795DAE"/>
    <w:rsid w:val="00795DBA"/>
    <w:rsid w:val="00796006"/>
    <w:rsid w:val="007960B7"/>
    <w:rsid w:val="00796370"/>
    <w:rsid w:val="007966E3"/>
    <w:rsid w:val="007967EB"/>
    <w:rsid w:val="00796E61"/>
    <w:rsid w:val="00797358"/>
    <w:rsid w:val="007979E1"/>
    <w:rsid w:val="007A0C1E"/>
    <w:rsid w:val="007A10E7"/>
    <w:rsid w:val="007A191E"/>
    <w:rsid w:val="007A20B7"/>
    <w:rsid w:val="007A242C"/>
    <w:rsid w:val="007A2C59"/>
    <w:rsid w:val="007A37C4"/>
    <w:rsid w:val="007A39A5"/>
    <w:rsid w:val="007A3EA0"/>
    <w:rsid w:val="007A41E6"/>
    <w:rsid w:val="007A42E2"/>
    <w:rsid w:val="007A42EC"/>
    <w:rsid w:val="007A4597"/>
    <w:rsid w:val="007A46B5"/>
    <w:rsid w:val="007A4C07"/>
    <w:rsid w:val="007A4F79"/>
    <w:rsid w:val="007A51EF"/>
    <w:rsid w:val="007A592A"/>
    <w:rsid w:val="007A5CA9"/>
    <w:rsid w:val="007A691D"/>
    <w:rsid w:val="007A6954"/>
    <w:rsid w:val="007A6C64"/>
    <w:rsid w:val="007A70B0"/>
    <w:rsid w:val="007A70E1"/>
    <w:rsid w:val="007A71E0"/>
    <w:rsid w:val="007A726E"/>
    <w:rsid w:val="007A74C9"/>
    <w:rsid w:val="007A7762"/>
    <w:rsid w:val="007A7BA4"/>
    <w:rsid w:val="007A7C9C"/>
    <w:rsid w:val="007B0299"/>
    <w:rsid w:val="007B04D5"/>
    <w:rsid w:val="007B04E9"/>
    <w:rsid w:val="007B07F4"/>
    <w:rsid w:val="007B0A1F"/>
    <w:rsid w:val="007B0C10"/>
    <w:rsid w:val="007B0D10"/>
    <w:rsid w:val="007B13A7"/>
    <w:rsid w:val="007B182A"/>
    <w:rsid w:val="007B191C"/>
    <w:rsid w:val="007B1B1C"/>
    <w:rsid w:val="007B1F54"/>
    <w:rsid w:val="007B208E"/>
    <w:rsid w:val="007B251A"/>
    <w:rsid w:val="007B25D2"/>
    <w:rsid w:val="007B2C74"/>
    <w:rsid w:val="007B2EED"/>
    <w:rsid w:val="007B39EA"/>
    <w:rsid w:val="007B3A57"/>
    <w:rsid w:val="007B3ADB"/>
    <w:rsid w:val="007B3C9F"/>
    <w:rsid w:val="007B3D0F"/>
    <w:rsid w:val="007B3DDB"/>
    <w:rsid w:val="007B3FAA"/>
    <w:rsid w:val="007B3FFD"/>
    <w:rsid w:val="007B4681"/>
    <w:rsid w:val="007B4A6D"/>
    <w:rsid w:val="007B4A6E"/>
    <w:rsid w:val="007B502B"/>
    <w:rsid w:val="007B60E3"/>
    <w:rsid w:val="007B6120"/>
    <w:rsid w:val="007B6917"/>
    <w:rsid w:val="007B6DEE"/>
    <w:rsid w:val="007B6E69"/>
    <w:rsid w:val="007B747A"/>
    <w:rsid w:val="007B763E"/>
    <w:rsid w:val="007B7C54"/>
    <w:rsid w:val="007B7EDC"/>
    <w:rsid w:val="007C0A40"/>
    <w:rsid w:val="007C0A4E"/>
    <w:rsid w:val="007C0DE6"/>
    <w:rsid w:val="007C125D"/>
    <w:rsid w:val="007C1424"/>
    <w:rsid w:val="007C14FC"/>
    <w:rsid w:val="007C1CBF"/>
    <w:rsid w:val="007C1E07"/>
    <w:rsid w:val="007C1F32"/>
    <w:rsid w:val="007C2001"/>
    <w:rsid w:val="007C2656"/>
    <w:rsid w:val="007C332E"/>
    <w:rsid w:val="007C374B"/>
    <w:rsid w:val="007C3814"/>
    <w:rsid w:val="007C3B04"/>
    <w:rsid w:val="007C3D24"/>
    <w:rsid w:val="007C3EB1"/>
    <w:rsid w:val="007C402C"/>
    <w:rsid w:val="007C4195"/>
    <w:rsid w:val="007C455C"/>
    <w:rsid w:val="007C47B7"/>
    <w:rsid w:val="007C4C95"/>
    <w:rsid w:val="007C4D31"/>
    <w:rsid w:val="007C4E1B"/>
    <w:rsid w:val="007C4FA7"/>
    <w:rsid w:val="007C5046"/>
    <w:rsid w:val="007C5EE6"/>
    <w:rsid w:val="007C61C9"/>
    <w:rsid w:val="007C654A"/>
    <w:rsid w:val="007C67CC"/>
    <w:rsid w:val="007C6FCD"/>
    <w:rsid w:val="007C708C"/>
    <w:rsid w:val="007C70E0"/>
    <w:rsid w:val="007C730A"/>
    <w:rsid w:val="007C7820"/>
    <w:rsid w:val="007C7899"/>
    <w:rsid w:val="007D0299"/>
    <w:rsid w:val="007D02CB"/>
    <w:rsid w:val="007D032D"/>
    <w:rsid w:val="007D0657"/>
    <w:rsid w:val="007D07B7"/>
    <w:rsid w:val="007D0840"/>
    <w:rsid w:val="007D0933"/>
    <w:rsid w:val="007D09D6"/>
    <w:rsid w:val="007D0B7B"/>
    <w:rsid w:val="007D0FFE"/>
    <w:rsid w:val="007D1118"/>
    <w:rsid w:val="007D1B3E"/>
    <w:rsid w:val="007D1D08"/>
    <w:rsid w:val="007D1E47"/>
    <w:rsid w:val="007D27BE"/>
    <w:rsid w:val="007D2CA7"/>
    <w:rsid w:val="007D3C19"/>
    <w:rsid w:val="007D3F88"/>
    <w:rsid w:val="007D40E8"/>
    <w:rsid w:val="007D42D5"/>
    <w:rsid w:val="007D43F9"/>
    <w:rsid w:val="007D4673"/>
    <w:rsid w:val="007D4D53"/>
    <w:rsid w:val="007D4D91"/>
    <w:rsid w:val="007D4F54"/>
    <w:rsid w:val="007D4FA6"/>
    <w:rsid w:val="007D55DA"/>
    <w:rsid w:val="007D56F0"/>
    <w:rsid w:val="007D5A03"/>
    <w:rsid w:val="007D5F63"/>
    <w:rsid w:val="007D6C60"/>
    <w:rsid w:val="007D6CAA"/>
    <w:rsid w:val="007D6D7D"/>
    <w:rsid w:val="007D6EAC"/>
    <w:rsid w:val="007D7827"/>
    <w:rsid w:val="007D79EA"/>
    <w:rsid w:val="007D7C69"/>
    <w:rsid w:val="007D7F51"/>
    <w:rsid w:val="007E0104"/>
    <w:rsid w:val="007E02B3"/>
    <w:rsid w:val="007E05EB"/>
    <w:rsid w:val="007E067A"/>
    <w:rsid w:val="007E069E"/>
    <w:rsid w:val="007E07D3"/>
    <w:rsid w:val="007E0849"/>
    <w:rsid w:val="007E0954"/>
    <w:rsid w:val="007E0E98"/>
    <w:rsid w:val="007E101D"/>
    <w:rsid w:val="007E2452"/>
    <w:rsid w:val="007E24FC"/>
    <w:rsid w:val="007E2D7E"/>
    <w:rsid w:val="007E3603"/>
    <w:rsid w:val="007E39A8"/>
    <w:rsid w:val="007E3A1E"/>
    <w:rsid w:val="007E3AB2"/>
    <w:rsid w:val="007E3BF1"/>
    <w:rsid w:val="007E3F08"/>
    <w:rsid w:val="007E4125"/>
    <w:rsid w:val="007E492B"/>
    <w:rsid w:val="007E4AD6"/>
    <w:rsid w:val="007E4CB8"/>
    <w:rsid w:val="007E4F3D"/>
    <w:rsid w:val="007E535F"/>
    <w:rsid w:val="007E55A8"/>
    <w:rsid w:val="007E5BE0"/>
    <w:rsid w:val="007E6444"/>
    <w:rsid w:val="007E6FF9"/>
    <w:rsid w:val="007E71BB"/>
    <w:rsid w:val="007E7312"/>
    <w:rsid w:val="007E7774"/>
    <w:rsid w:val="007E7797"/>
    <w:rsid w:val="007F0506"/>
    <w:rsid w:val="007F0561"/>
    <w:rsid w:val="007F0C6C"/>
    <w:rsid w:val="007F0D36"/>
    <w:rsid w:val="007F1591"/>
    <w:rsid w:val="007F16F0"/>
    <w:rsid w:val="007F242F"/>
    <w:rsid w:val="007F25BE"/>
    <w:rsid w:val="007F2995"/>
    <w:rsid w:val="007F2BE5"/>
    <w:rsid w:val="007F31A8"/>
    <w:rsid w:val="007F3587"/>
    <w:rsid w:val="007F3952"/>
    <w:rsid w:val="007F3A81"/>
    <w:rsid w:val="007F3AA0"/>
    <w:rsid w:val="007F3EF9"/>
    <w:rsid w:val="007F43E0"/>
    <w:rsid w:val="007F4982"/>
    <w:rsid w:val="007F5005"/>
    <w:rsid w:val="007F57CA"/>
    <w:rsid w:val="007F5DEC"/>
    <w:rsid w:val="007F6285"/>
    <w:rsid w:val="007F635F"/>
    <w:rsid w:val="007F64AE"/>
    <w:rsid w:val="007F7329"/>
    <w:rsid w:val="007F7A65"/>
    <w:rsid w:val="007F7AB1"/>
    <w:rsid w:val="007F7EED"/>
    <w:rsid w:val="007F7FB3"/>
    <w:rsid w:val="007F7FB4"/>
    <w:rsid w:val="0080022F"/>
    <w:rsid w:val="00800686"/>
    <w:rsid w:val="00800A7F"/>
    <w:rsid w:val="008012A8"/>
    <w:rsid w:val="00801487"/>
    <w:rsid w:val="008014C2"/>
    <w:rsid w:val="008019EA"/>
    <w:rsid w:val="00801BCB"/>
    <w:rsid w:val="00801C2A"/>
    <w:rsid w:val="00802016"/>
    <w:rsid w:val="00802D5D"/>
    <w:rsid w:val="00803B1D"/>
    <w:rsid w:val="00803C32"/>
    <w:rsid w:val="00804159"/>
    <w:rsid w:val="00804419"/>
    <w:rsid w:val="00804BD7"/>
    <w:rsid w:val="0080584E"/>
    <w:rsid w:val="00805F9C"/>
    <w:rsid w:val="00806151"/>
    <w:rsid w:val="0080635B"/>
    <w:rsid w:val="008067E0"/>
    <w:rsid w:val="00806CAC"/>
    <w:rsid w:val="00807132"/>
    <w:rsid w:val="00807A6E"/>
    <w:rsid w:val="0081018F"/>
    <w:rsid w:val="00810DF3"/>
    <w:rsid w:val="008110AF"/>
    <w:rsid w:val="00811101"/>
    <w:rsid w:val="00811374"/>
    <w:rsid w:val="00811561"/>
    <w:rsid w:val="00811E73"/>
    <w:rsid w:val="008122DA"/>
    <w:rsid w:val="00812992"/>
    <w:rsid w:val="00812CE9"/>
    <w:rsid w:val="00812FFE"/>
    <w:rsid w:val="008130E8"/>
    <w:rsid w:val="00813421"/>
    <w:rsid w:val="0081353E"/>
    <w:rsid w:val="008135FA"/>
    <w:rsid w:val="00813762"/>
    <w:rsid w:val="00813810"/>
    <w:rsid w:val="00813BAB"/>
    <w:rsid w:val="00813CF4"/>
    <w:rsid w:val="00813D1C"/>
    <w:rsid w:val="008141A0"/>
    <w:rsid w:val="00814A6E"/>
    <w:rsid w:val="008151AC"/>
    <w:rsid w:val="008151D6"/>
    <w:rsid w:val="0081537A"/>
    <w:rsid w:val="00815B73"/>
    <w:rsid w:val="00815BD6"/>
    <w:rsid w:val="00815F56"/>
    <w:rsid w:val="008161DD"/>
    <w:rsid w:val="008165AE"/>
    <w:rsid w:val="00816723"/>
    <w:rsid w:val="00816916"/>
    <w:rsid w:val="00816ABE"/>
    <w:rsid w:val="00816AC0"/>
    <w:rsid w:val="00816EE5"/>
    <w:rsid w:val="00816F72"/>
    <w:rsid w:val="00817C0D"/>
    <w:rsid w:val="00817DEA"/>
    <w:rsid w:val="00817F45"/>
    <w:rsid w:val="008204FF"/>
    <w:rsid w:val="008205A3"/>
    <w:rsid w:val="00820BD4"/>
    <w:rsid w:val="00820E83"/>
    <w:rsid w:val="00820FE3"/>
    <w:rsid w:val="008212AF"/>
    <w:rsid w:val="0082183C"/>
    <w:rsid w:val="00821D06"/>
    <w:rsid w:val="00822479"/>
    <w:rsid w:val="00822558"/>
    <w:rsid w:val="0082291C"/>
    <w:rsid w:val="008229F4"/>
    <w:rsid w:val="008230E4"/>
    <w:rsid w:val="00823320"/>
    <w:rsid w:val="0082349C"/>
    <w:rsid w:val="00823924"/>
    <w:rsid w:val="00823C06"/>
    <w:rsid w:val="00823C95"/>
    <w:rsid w:val="00823D9B"/>
    <w:rsid w:val="00823E25"/>
    <w:rsid w:val="00824058"/>
    <w:rsid w:val="008242A7"/>
    <w:rsid w:val="00824781"/>
    <w:rsid w:val="008253DD"/>
    <w:rsid w:val="008254FB"/>
    <w:rsid w:val="00825535"/>
    <w:rsid w:val="00825DD4"/>
    <w:rsid w:val="008260AA"/>
    <w:rsid w:val="00826446"/>
    <w:rsid w:val="0082652E"/>
    <w:rsid w:val="00826863"/>
    <w:rsid w:val="00826F66"/>
    <w:rsid w:val="0082700F"/>
    <w:rsid w:val="00827750"/>
    <w:rsid w:val="008278BD"/>
    <w:rsid w:val="00827904"/>
    <w:rsid w:val="00827AD1"/>
    <w:rsid w:val="00827AFD"/>
    <w:rsid w:val="00827EBB"/>
    <w:rsid w:val="0083010A"/>
    <w:rsid w:val="008303FF"/>
    <w:rsid w:val="00830516"/>
    <w:rsid w:val="0083068F"/>
    <w:rsid w:val="00830796"/>
    <w:rsid w:val="00830FB8"/>
    <w:rsid w:val="00831034"/>
    <w:rsid w:val="008319D0"/>
    <w:rsid w:val="00832AC4"/>
    <w:rsid w:val="00832B1C"/>
    <w:rsid w:val="00832B88"/>
    <w:rsid w:val="00832E91"/>
    <w:rsid w:val="008332F2"/>
    <w:rsid w:val="008335DD"/>
    <w:rsid w:val="008336EA"/>
    <w:rsid w:val="008338B3"/>
    <w:rsid w:val="0083392A"/>
    <w:rsid w:val="008339BA"/>
    <w:rsid w:val="0083461A"/>
    <w:rsid w:val="008349B7"/>
    <w:rsid w:val="00834BAC"/>
    <w:rsid w:val="00834DBA"/>
    <w:rsid w:val="00834FD5"/>
    <w:rsid w:val="00835664"/>
    <w:rsid w:val="00835A91"/>
    <w:rsid w:val="00835DB4"/>
    <w:rsid w:val="00835DD6"/>
    <w:rsid w:val="00836019"/>
    <w:rsid w:val="00836042"/>
    <w:rsid w:val="0083622C"/>
    <w:rsid w:val="008362B3"/>
    <w:rsid w:val="0083648A"/>
    <w:rsid w:val="00836583"/>
    <w:rsid w:val="00836616"/>
    <w:rsid w:val="008369B7"/>
    <w:rsid w:val="00837C17"/>
    <w:rsid w:val="00840AAF"/>
    <w:rsid w:val="00840B33"/>
    <w:rsid w:val="00840E98"/>
    <w:rsid w:val="00841456"/>
    <w:rsid w:val="008415CD"/>
    <w:rsid w:val="00841602"/>
    <w:rsid w:val="00841DB0"/>
    <w:rsid w:val="00841EE5"/>
    <w:rsid w:val="00841F08"/>
    <w:rsid w:val="00842104"/>
    <w:rsid w:val="0084233F"/>
    <w:rsid w:val="00842510"/>
    <w:rsid w:val="00842957"/>
    <w:rsid w:val="00842CB8"/>
    <w:rsid w:val="00843636"/>
    <w:rsid w:val="0084389B"/>
    <w:rsid w:val="00843D75"/>
    <w:rsid w:val="00843FEB"/>
    <w:rsid w:val="00844371"/>
    <w:rsid w:val="00844F0A"/>
    <w:rsid w:val="008450A8"/>
    <w:rsid w:val="00845167"/>
    <w:rsid w:val="008452CC"/>
    <w:rsid w:val="008459A8"/>
    <w:rsid w:val="00845A70"/>
    <w:rsid w:val="00845E96"/>
    <w:rsid w:val="008467BC"/>
    <w:rsid w:val="00846909"/>
    <w:rsid w:val="00846923"/>
    <w:rsid w:val="00846BB9"/>
    <w:rsid w:val="00846E38"/>
    <w:rsid w:val="008470CF"/>
    <w:rsid w:val="00847126"/>
    <w:rsid w:val="00847989"/>
    <w:rsid w:val="008479DB"/>
    <w:rsid w:val="00847AD4"/>
    <w:rsid w:val="00847D88"/>
    <w:rsid w:val="00850077"/>
    <w:rsid w:val="008501BF"/>
    <w:rsid w:val="0085036C"/>
    <w:rsid w:val="00850497"/>
    <w:rsid w:val="008505EA"/>
    <w:rsid w:val="0085072A"/>
    <w:rsid w:val="00850B66"/>
    <w:rsid w:val="0085147B"/>
    <w:rsid w:val="0085171F"/>
    <w:rsid w:val="008517C0"/>
    <w:rsid w:val="00851C0D"/>
    <w:rsid w:val="00851D53"/>
    <w:rsid w:val="008521CF"/>
    <w:rsid w:val="0085324A"/>
    <w:rsid w:val="008534FF"/>
    <w:rsid w:val="00853727"/>
    <w:rsid w:val="00853DD4"/>
    <w:rsid w:val="00853F1C"/>
    <w:rsid w:val="00853F42"/>
    <w:rsid w:val="00853FD0"/>
    <w:rsid w:val="0085408A"/>
    <w:rsid w:val="008541E3"/>
    <w:rsid w:val="008543CB"/>
    <w:rsid w:val="008552FA"/>
    <w:rsid w:val="00855367"/>
    <w:rsid w:val="008553EC"/>
    <w:rsid w:val="008556BC"/>
    <w:rsid w:val="008557AF"/>
    <w:rsid w:val="00855CA4"/>
    <w:rsid w:val="00856208"/>
    <w:rsid w:val="008567EE"/>
    <w:rsid w:val="00856996"/>
    <w:rsid w:val="00856CED"/>
    <w:rsid w:val="00856EBC"/>
    <w:rsid w:val="00856EDB"/>
    <w:rsid w:val="00856EF3"/>
    <w:rsid w:val="00856F20"/>
    <w:rsid w:val="008571BB"/>
    <w:rsid w:val="00857811"/>
    <w:rsid w:val="00860097"/>
    <w:rsid w:val="00860D25"/>
    <w:rsid w:val="00860FE6"/>
    <w:rsid w:val="008612BE"/>
    <w:rsid w:val="0086159F"/>
    <w:rsid w:val="00861651"/>
    <w:rsid w:val="008619BD"/>
    <w:rsid w:val="00861CF3"/>
    <w:rsid w:val="00861F0B"/>
    <w:rsid w:val="00861F71"/>
    <w:rsid w:val="008622D1"/>
    <w:rsid w:val="008623CA"/>
    <w:rsid w:val="0086270E"/>
    <w:rsid w:val="00862873"/>
    <w:rsid w:val="00862A55"/>
    <w:rsid w:val="00862ECD"/>
    <w:rsid w:val="00863041"/>
    <w:rsid w:val="0086304E"/>
    <w:rsid w:val="00863079"/>
    <w:rsid w:val="0086310E"/>
    <w:rsid w:val="00863FF1"/>
    <w:rsid w:val="008640DF"/>
    <w:rsid w:val="0086414C"/>
    <w:rsid w:val="008641B2"/>
    <w:rsid w:val="00864769"/>
    <w:rsid w:val="00864884"/>
    <w:rsid w:val="008649F8"/>
    <w:rsid w:val="00864B5A"/>
    <w:rsid w:val="00865080"/>
    <w:rsid w:val="0086547E"/>
    <w:rsid w:val="008655CB"/>
    <w:rsid w:val="008655E3"/>
    <w:rsid w:val="00865747"/>
    <w:rsid w:val="0086576B"/>
    <w:rsid w:val="00865DF7"/>
    <w:rsid w:val="00865F84"/>
    <w:rsid w:val="008662BE"/>
    <w:rsid w:val="00866520"/>
    <w:rsid w:val="008667C1"/>
    <w:rsid w:val="008669BC"/>
    <w:rsid w:val="00866A65"/>
    <w:rsid w:val="00866F5F"/>
    <w:rsid w:val="0086705C"/>
    <w:rsid w:val="008670F0"/>
    <w:rsid w:val="00867273"/>
    <w:rsid w:val="008676B9"/>
    <w:rsid w:val="008677EF"/>
    <w:rsid w:val="008716EE"/>
    <w:rsid w:val="0087171C"/>
    <w:rsid w:val="00871A84"/>
    <w:rsid w:val="00872009"/>
    <w:rsid w:val="0087208F"/>
    <w:rsid w:val="00872B95"/>
    <w:rsid w:val="00872C56"/>
    <w:rsid w:val="00872E16"/>
    <w:rsid w:val="008730B2"/>
    <w:rsid w:val="00873376"/>
    <w:rsid w:val="00873638"/>
    <w:rsid w:val="0087394D"/>
    <w:rsid w:val="00873A25"/>
    <w:rsid w:val="00873BBA"/>
    <w:rsid w:val="00873FA8"/>
    <w:rsid w:val="0087444A"/>
    <w:rsid w:val="00874ABE"/>
    <w:rsid w:val="00874B73"/>
    <w:rsid w:val="00874DDF"/>
    <w:rsid w:val="00875011"/>
    <w:rsid w:val="00875052"/>
    <w:rsid w:val="008753E1"/>
    <w:rsid w:val="008753E2"/>
    <w:rsid w:val="00875EAF"/>
    <w:rsid w:val="008764AB"/>
    <w:rsid w:val="00876566"/>
    <w:rsid w:val="00876930"/>
    <w:rsid w:val="00876A01"/>
    <w:rsid w:val="00876C9F"/>
    <w:rsid w:val="00876D7B"/>
    <w:rsid w:val="00877234"/>
    <w:rsid w:val="00877483"/>
    <w:rsid w:val="00877597"/>
    <w:rsid w:val="0087776B"/>
    <w:rsid w:val="00877BDD"/>
    <w:rsid w:val="00877C82"/>
    <w:rsid w:val="00877FEE"/>
    <w:rsid w:val="008801D3"/>
    <w:rsid w:val="008803B3"/>
    <w:rsid w:val="00880439"/>
    <w:rsid w:val="00880596"/>
    <w:rsid w:val="00880732"/>
    <w:rsid w:val="008807F9"/>
    <w:rsid w:val="008808E1"/>
    <w:rsid w:val="008808FC"/>
    <w:rsid w:val="00880995"/>
    <w:rsid w:val="00880F5B"/>
    <w:rsid w:val="0088125E"/>
    <w:rsid w:val="0088178B"/>
    <w:rsid w:val="008821BE"/>
    <w:rsid w:val="00882F94"/>
    <w:rsid w:val="00883152"/>
    <w:rsid w:val="008838E8"/>
    <w:rsid w:val="008838F7"/>
    <w:rsid w:val="008841F3"/>
    <w:rsid w:val="00884BDC"/>
    <w:rsid w:val="008850E4"/>
    <w:rsid w:val="00885254"/>
    <w:rsid w:val="00885A27"/>
    <w:rsid w:val="00885E84"/>
    <w:rsid w:val="00886975"/>
    <w:rsid w:val="00886B31"/>
    <w:rsid w:val="00886BFF"/>
    <w:rsid w:val="00886C3E"/>
    <w:rsid w:val="00886C4A"/>
    <w:rsid w:val="00887821"/>
    <w:rsid w:val="00887964"/>
    <w:rsid w:val="00887BCC"/>
    <w:rsid w:val="00887CF4"/>
    <w:rsid w:val="00887F7E"/>
    <w:rsid w:val="008901F2"/>
    <w:rsid w:val="00890240"/>
    <w:rsid w:val="00890307"/>
    <w:rsid w:val="00890C80"/>
    <w:rsid w:val="00890E02"/>
    <w:rsid w:val="008910B6"/>
    <w:rsid w:val="00891BE4"/>
    <w:rsid w:val="00891EE4"/>
    <w:rsid w:val="00892330"/>
    <w:rsid w:val="0089273B"/>
    <w:rsid w:val="00892BD3"/>
    <w:rsid w:val="00893A61"/>
    <w:rsid w:val="00893E0B"/>
    <w:rsid w:val="00893F04"/>
    <w:rsid w:val="0089400C"/>
    <w:rsid w:val="0089409F"/>
    <w:rsid w:val="008947E5"/>
    <w:rsid w:val="0089491F"/>
    <w:rsid w:val="00894B1F"/>
    <w:rsid w:val="00894E3F"/>
    <w:rsid w:val="0089520C"/>
    <w:rsid w:val="00895409"/>
    <w:rsid w:val="0089574B"/>
    <w:rsid w:val="00895859"/>
    <w:rsid w:val="00896B81"/>
    <w:rsid w:val="00896C72"/>
    <w:rsid w:val="00897305"/>
    <w:rsid w:val="008978AA"/>
    <w:rsid w:val="008A0048"/>
    <w:rsid w:val="008A004A"/>
    <w:rsid w:val="008A082A"/>
    <w:rsid w:val="008A0AC9"/>
    <w:rsid w:val="008A0B1F"/>
    <w:rsid w:val="008A0D49"/>
    <w:rsid w:val="008A1258"/>
    <w:rsid w:val="008A12B2"/>
    <w:rsid w:val="008A15FE"/>
    <w:rsid w:val="008A1CCD"/>
    <w:rsid w:val="008A1DC2"/>
    <w:rsid w:val="008A223B"/>
    <w:rsid w:val="008A24F5"/>
    <w:rsid w:val="008A34C4"/>
    <w:rsid w:val="008A34DD"/>
    <w:rsid w:val="008A3544"/>
    <w:rsid w:val="008A3708"/>
    <w:rsid w:val="008A398C"/>
    <w:rsid w:val="008A3BAF"/>
    <w:rsid w:val="008A3C80"/>
    <w:rsid w:val="008A518B"/>
    <w:rsid w:val="008A52F2"/>
    <w:rsid w:val="008A5772"/>
    <w:rsid w:val="008A5F5D"/>
    <w:rsid w:val="008A5F69"/>
    <w:rsid w:val="008A66AE"/>
    <w:rsid w:val="008A687B"/>
    <w:rsid w:val="008A6AEE"/>
    <w:rsid w:val="008A6D4A"/>
    <w:rsid w:val="008A6F57"/>
    <w:rsid w:val="008A72D1"/>
    <w:rsid w:val="008A7661"/>
    <w:rsid w:val="008A76F0"/>
    <w:rsid w:val="008A7D29"/>
    <w:rsid w:val="008B014A"/>
    <w:rsid w:val="008B01A1"/>
    <w:rsid w:val="008B1048"/>
    <w:rsid w:val="008B113E"/>
    <w:rsid w:val="008B1CA3"/>
    <w:rsid w:val="008B2876"/>
    <w:rsid w:val="008B2931"/>
    <w:rsid w:val="008B2E9B"/>
    <w:rsid w:val="008B3722"/>
    <w:rsid w:val="008B3789"/>
    <w:rsid w:val="008B3CED"/>
    <w:rsid w:val="008B3DCE"/>
    <w:rsid w:val="008B46FD"/>
    <w:rsid w:val="008B4CDF"/>
    <w:rsid w:val="008B4EAD"/>
    <w:rsid w:val="008B4F7A"/>
    <w:rsid w:val="008B4FAA"/>
    <w:rsid w:val="008B5015"/>
    <w:rsid w:val="008B5050"/>
    <w:rsid w:val="008B5788"/>
    <w:rsid w:val="008B5D99"/>
    <w:rsid w:val="008B5E55"/>
    <w:rsid w:val="008B61E4"/>
    <w:rsid w:val="008B63DA"/>
    <w:rsid w:val="008B6778"/>
    <w:rsid w:val="008B6ED4"/>
    <w:rsid w:val="008B71EF"/>
    <w:rsid w:val="008B734F"/>
    <w:rsid w:val="008B73A4"/>
    <w:rsid w:val="008B7400"/>
    <w:rsid w:val="008B75AE"/>
    <w:rsid w:val="008B797E"/>
    <w:rsid w:val="008B7F0B"/>
    <w:rsid w:val="008C06E2"/>
    <w:rsid w:val="008C0882"/>
    <w:rsid w:val="008C0DCC"/>
    <w:rsid w:val="008C0ED5"/>
    <w:rsid w:val="008C1056"/>
    <w:rsid w:val="008C1130"/>
    <w:rsid w:val="008C177E"/>
    <w:rsid w:val="008C180E"/>
    <w:rsid w:val="008C18B4"/>
    <w:rsid w:val="008C198E"/>
    <w:rsid w:val="008C1C83"/>
    <w:rsid w:val="008C235A"/>
    <w:rsid w:val="008C295C"/>
    <w:rsid w:val="008C3022"/>
    <w:rsid w:val="008C309C"/>
    <w:rsid w:val="008C3939"/>
    <w:rsid w:val="008C3BE0"/>
    <w:rsid w:val="008C42B8"/>
    <w:rsid w:val="008C4457"/>
    <w:rsid w:val="008C48AD"/>
    <w:rsid w:val="008C4B6C"/>
    <w:rsid w:val="008C4B70"/>
    <w:rsid w:val="008C4EA1"/>
    <w:rsid w:val="008C509F"/>
    <w:rsid w:val="008C5458"/>
    <w:rsid w:val="008C612A"/>
    <w:rsid w:val="008C65E1"/>
    <w:rsid w:val="008C6C0B"/>
    <w:rsid w:val="008C7DC8"/>
    <w:rsid w:val="008D02CC"/>
    <w:rsid w:val="008D04BA"/>
    <w:rsid w:val="008D04C9"/>
    <w:rsid w:val="008D0611"/>
    <w:rsid w:val="008D11D7"/>
    <w:rsid w:val="008D1464"/>
    <w:rsid w:val="008D1EB6"/>
    <w:rsid w:val="008D2106"/>
    <w:rsid w:val="008D213C"/>
    <w:rsid w:val="008D22E9"/>
    <w:rsid w:val="008D2A25"/>
    <w:rsid w:val="008D2A65"/>
    <w:rsid w:val="008D2A98"/>
    <w:rsid w:val="008D2D0F"/>
    <w:rsid w:val="008D3985"/>
    <w:rsid w:val="008D3B3B"/>
    <w:rsid w:val="008D3F10"/>
    <w:rsid w:val="008D4B8A"/>
    <w:rsid w:val="008D4E49"/>
    <w:rsid w:val="008D4F16"/>
    <w:rsid w:val="008D5088"/>
    <w:rsid w:val="008D51F3"/>
    <w:rsid w:val="008D548B"/>
    <w:rsid w:val="008D57D5"/>
    <w:rsid w:val="008D61E8"/>
    <w:rsid w:val="008D6ADA"/>
    <w:rsid w:val="008D7007"/>
    <w:rsid w:val="008D7CD0"/>
    <w:rsid w:val="008D7E82"/>
    <w:rsid w:val="008E0062"/>
    <w:rsid w:val="008E089E"/>
    <w:rsid w:val="008E0DB4"/>
    <w:rsid w:val="008E10E2"/>
    <w:rsid w:val="008E14F3"/>
    <w:rsid w:val="008E1D91"/>
    <w:rsid w:val="008E1E60"/>
    <w:rsid w:val="008E2CC8"/>
    <w:rsid w:val="008E2FF9"/>
    <w:rsid w:val="008E32B7"/>
    <w:rsid w:val="008E379D"/>
    <w:rsid w:val="008E3884"/>
    <w:rsid w:val="008E3A00"/>
    <w:rsid w:val="008E3A65"/>
    <w:rsid w:val="008E4CF0"/>
    <w:rsid w:val="008E4E12"/>
    <w:rsid w:val="008E54BC"/>
    <w:rsid w:val="008E5A16"/>
    <w:rsid w:val="008E6068"/>
    <w:rsid w:val="008E6766"/>
    <w:rsid w:val="008E68FD"/>
    <w:rsid w:val="008E6D3D"/>
    <w:rsid w:val="008E7AB4"/>
    <w:rsid w:val="008F080C"/>
    <w:rsid w:val="008F0A40"/>
    <w:rsid w:val="008F0AD5"/>
    <w:rsid w:val="008F18F6"/>
    <w:rsid w:val="008F1B3C"/>
    <w:rsid w:val="008F1BEC"/>
    <w:rsid w:val="008F204B"/>
    <w:rsid w:val="008F2277"/>
    <w:rsid w:val="008F263D"/>
    <w:rsid w:val="008F2B3A"/>
    <w:rsid w:val="008F2B73"/>
    <w:rsid w:val="008F2F25"/>
    <w:rsid w:val="008F2FA7"/>
    <w:rsid w:val="008F2FA8"/>
    <w:rsid w:val="008F303D"/>
    <w:rsid w:val="008F31BB"/>
    <w:rsid w:val="008F3439"/>
    <w:rsid w:val="008F3736"/>
    <w:rsid w:val="008F40B3"/>
    <w:rsid w:val="008F429B"/>
    <w:rsid w:val="008F467C"/>
    <w:rsid w:val="008F47DD"/>
    <w:rsid w:val="008F4CB9"/>
    <w:rsid w:val="008F501B"/>
    <w:rsid w:val="008F501D"/>
    <w:rsid w:val="008F5655"/>
    <w:rsid w:val="008F587B"/>
    <w:rsid w:val="008F6334"/>
    <w:rsid w:val="008F652B"/>
    <w:rsid w:val="008F6F03"/>
    <w:rsid w:val="008F6F04"/>
    <w:rsid w:val="008F7229"/>
    <w:rsid w:val="008F7305"/>
    <w:rsid w:val="008F7B88"/>
    <w:rsid w:val="0090024B"/>
    <w:rsid w:val="00900269"/>
    <w:rsid w:val="009002C9"/>
    <w:rsid w:val="00900B55"/>
    <w:rsid w:val="00900FF4"/>
    <w:rsid w:val="0090122D"/>
    <w:rsid w:val="00901361"/>
    <w:rsid w:val="00901689"/>
    <w:rsid w:val="0090181B"/>
    <w:rsid w:val="00901982"/>
    <w:rsid w:val="0090219E"/>
    <w:rsid w:val="009026E8"/>
    <w:rsid w:val="00902925"/>
    <w:rsid w:val="00902AF9"/>
    <w:rsid w:val="00902DBC"/>
    <w:rsid w:val="00902E0F"/>
    <w:rsid w:val="009035C9"/>
    <w:rsid w:val="00903FF2"/>
    <w:rsid w:val="009040E4"/>
    <w:rsid w:val="00904F22"/>
    <w:rsid w:val="009050BF"/>
    <w:rsid w:val="0090514B"/>
    <w:rsid w:val="0090515B"/>
    <w:rsid w:val="009051FB"/>
    <w:rsid w:val="009054D8"/>
    <w:rsid w:val="00905D62"/>
    <w:rsid w:val="00905F7B"/>
    <w:rsid w:val="0090661F"/>
    <w:rsid w:val="00907336"/>
    <w:rsid w:val="00907516"/>
    <w:rsid w:val="00907989"/>
    <w:rsid w:val="00907D1D"/>
    <w:rsid w:val="00910642"/>
    <w:rsid w:val="00910AD7"/>
    <w:rsid w:val="00911A74"/>
    <w:rsid w:val="00911F0E"/>
    <w:rsid w:val="009127D2"/>
    <w:rsid w:val="0091287E"/>
    <w:rsid w:val="009128B3"/>
    <w:rsid w:val="00913324"/>
    <w:rsid w:val="0091340B"/>
    <w:rsid w:val="00913CE5"/>
    <w:rsid w:val="009144A3"/>
    <w:rsid w:val="009149E0"/>
    <w:rsid w:val="00914DBB"/>
    <w:rsid w:val="00915204"/>
    <w:rsid w:val="009160B3"/>
    <w:rsid w:val="009163AC"/>
    <w:rsid w:val="009163BB"/>
    <w:rsid w:val="009163CA"/>
    <w:rsid w:val="009165CB"/>
    <w:rsid w:val="0091681B"/>
    <w:rsid w:val="00916CD8"/>
    <w:rsid w:val="0091755F"/>
    <w:rsid w:val="009175EF"/>
    <w:rsid w:val="00917C0C"/>
    <w:rsid w:val="00917C46"/>
    <w:rsid w:val="00920043"/>
    <w:rsid w:val="00920445"/>
    <w:rsid w:val="00920872"/>
    <w:rsid w:val="00920DE7"/>
    <w:rsid w:val="00920DF9"/>
    <w:rsid w:val="009211D7"/>
    <w:rsid w:val="009213FF"/>
    <w:rsid w:val="009217F1"/>
    <w:rsid w:val="00921AEC"/>
    <w:rsid w:val="00921B18"/>
    <w:rsid w:val="00921B66"/>
    <w:rsid w:val="00921F47"/>
    <w:rsid w:val="0092246E"/>
    <w:rsid w:val="00922700"/>
    <w:rsid w:val="009228EC"/>
    <w:rsid w:val="00922B55"/>
    <w:rsid w:val="00922C05"/>
    <w:rsid w:val="00922F4A"/>
    <w:rsid w:val="0092317C"/>
    <w:rsid w:val="00923B85"/>
    <w:rsid w:val="00923E82"/>
    <w:rsid w:val="00923F54"/>
    <w:rsid w:val="009242B8"/>
    <w:rsid w:val="00924937"/>
    <w:rsid w:val="009254E7"/>
    <w:rsid w:val="0092577D"/>
    <w:rsid w:val="009258A0"/>
    <w:rsid w:val="00925F68"/>
    <w:rsid w:val="009261F4"/>
    <w:rsid w:val="009262F3"/>
    <w:rsid w:val="00926661"/>
    <w:rsid w:val="00926B49"/>
    <w:rsid w:val="009270C1"/>
    <w:rsid w:val="00927122"/>
    <w:rsid w:val="009273CD"/>
    <w:rsid w:val="0092798E"/>
    <w:rsid w:val="009300B7"/>
    <w:rsid w:val="009302AD"/>
    <w:rsid w:val="00930437"/>
    <w:rsid w:val="0093061B"/>
    <w:rsid w:val="009308DD"/>
    <w:rsid w:val="009309F9"/>
    <w:rsid w:val="00930FE5"/>
    <w:rsid w:val="00931190"/>
    <w:rsid w:val="0093157D"/>
    <w:rsid w:val="00931837"/>
    <w:rsid w:val="00931949"/>
    <w:rsid w:val="00931AA0"/>
    <w:rsid w:val="00931CD1"/>
    <w:rsid w:val="00931D99"/>
    <w:rsid w:val="009320AE"/>
    <w:rsid w:val="009321C8"/>
    <w:rsid w:val="0093293B"/>
    <w:rsid w:val="00933B2E"/>
    <w:rsid w:val="00933BEC"/>
    <w:rsid w:val="00933C17"/>
    <w:rsid w:val="009341C7"/>
    <w:rsid w:val="009342C5"/>
    <w:rsid w:val="0093453F"/>
    <w:rsid w:val="009347ED"/>
    <w:rsid w:val="00934B09"/>
    <w:rsid w:val="00934C6C"/>
    <w:rsid w:val="00934D3D"/>
    <w:rsid w:val="00934E12"/>
    <w:rsid w:val="00934E5D"/>
    <w:rsid w:val="009356FD"/>
    <w:rsid w:val="0093598B"/>
    <w:rsid w:val="009359F1"/>
    <w:rsid w:val="00935DC3"/>
    <w:rsid w:val="00935EFE"/>
    <w:rsid w:val="009360F2"/>
    <w:rsid w:val="00936255"/>
    <w:rsid w:val="0093644C"/>
    <w:rsid w:val="0093649C"/>
    <w:rsid w:val="009367B3"/>
    <w:rsid w:val="0093707C"/>
    <w:rsid w:val="00937728"/>
    <w:rsid w:val="00937948"/>
    <w:rsid w:val="00937C8C"/>
    <w:rsid w:val="00940761"/>
    <w:rsid w:val="0094089D"/>
    <w:rsid w:val="00940DBA"/>
    <w:rsid w:val="00940FC8"/>
    <w:rsid w:val="0094132B"/>
    <w:rsid w:val="00941736"/>
    <w:rsid w:val="009417FE"/>
    <w:rsid w:val="0094195F"/>
    <w:rsid w:val="00941C50"/>
    <w:rsid w:val="00941C5D"/>
    <w:rsid w:val="00941DC0"/>
    <w:rsid w:val="0094225E"/>
    <w:rsid w:val="00942790"/>
    <w:rsid w:val="00942EA1"/>
    <w:rsid w:val="00943F66"/>
    <w:rsid w:val="0094460B"/>
    <w:rsid w:val="00944C6B"/>
    <w:rsid w:val="0094520C"/>
    <w:rsid w:val="00945358"/>
    <w:rsid w:val="0094573B"/>
    <w:rsid w:val="00945862"/>
    <w:rsid w:val="009458C2"/>
    <w:rsid w:val="00945E1E"/>
    <w:rsid w:val="00947165"/>
    <w:rsid w:val="0094775F"/>
    <w:rsid w:val="0094789E"/>
    <w:rsid w:val="009478F4"/>
    <w:rsid w:val="00947A4A"/>
    <w:rsid w:val="00947A80"/>
    <w:rsid w:val="00947DFF"/>
    <w:rsid w:val="00947F96"/>
    <w:rsid w:val="00950599"/>
    <w:rsid w:val="009505E9"/>
    <w:rsid w:val="009513D9"/>
    <w:rsid w:val="00951565"/>
    <w:rsid w:val="0095231E"/>
    <w:rsid w:val="009528C4"/>
    <w:rsid w:val="009529AC"/>
    <w:rsid w:val="00952C9C"/>
    <w:rsid w:val="009537D9"/>
    <w:rsid w:val="00953917"/>
    <w:rsid w:val="0095397E"/>
    <w:rsid w:val="009540BC"/>
    <w:rsid w:val="00954126"/>
    <w:rsid w:val="009541D2"/>
    <w:rsid w:val="0095463C"/>
    <w:rsid w:val="009548BE"/>
    <w:rsid w:val="00954D30"/>
    <w:rsid w:val="009561A3"/>
    <w:rsid w:val="009564E2"/>
    <w:rsid w:val="00956AD1"/>
    <w:rsid w:val="00956C20"/>
    <w:rsid w:val="00956CE6"/>
    <w:rsid w:val="009570F0"/>
    <w:rsid w:val="009571AE"/>
    <w:rsid w:val="00957206"/>
    <w:rsid w:val="00957557"/>
    <w:rsid w:val="00957D80"/>
    <w:rsid w:val="00957E2F"/>
    <w:rsid w:val="0096006A"/>
    <w:rsid w:val="0096090E"/>
    <w:rsid w:val="009614C0"/>
    <w:rsid w:val="0096170A"/>
    <w:rsid w:val="00961AAA"/>
    <w:rsid w:val="00961E25"/>
    <w:rsid w:val="00962125"/>
    <w:rsid w:val="00962232"/>
    <w:rsid w:val="0096272A"/>
    <w:rsid w:val="00962889"/>
    <w:rsid w:val="00962F70"/>
    <w:rsid w:val="009630FB"/>
    <w:rsid w:val="0096316A"/>
    <w:rsid w:val="009634A1"/>
    <w:rsid w:val="00963523"/>
    <w:rsid w:val="0096460C"/>
    <w:rsid w:val="00964C7A"/>
    <w:rsid w:val="00964D2C"/>
    <w:rsid w:val="00964E29"/>
    <w:rsid w:val="009654A8"/>
    <w:rsid w:val="00965937"/>
    <w:rsid w:val="00965AFB"/>
    <w:rsid w:val="00965CC3"/>
    <w:rsid w:val="00966991"/>
    <w:rsid w:val="009669EC"/>
    <w:rsid w:val="00966B67"/>
    <w:rsid w:val="00966C97"/>
    <w:rsid w:val="00967326"/>
    <w:rsid w:val="00967336"/>
    <w:rsid w:val="0096740A"/>
    <w:rsid w:val="009675FB"/>
    <w:rsid w:val="00967E68"/>
    <w:rsid w:val="00967E6A"/>
    <w:rsid w:val="0097021E"/>
    <w:rsid w:val="00970BE3"/>
    <w:rsid w:val="00971184"/>
    <w:rsid w:val="009711ED"/>
    <w:rsid w:val="0097151D"/>
    <w:rsid w:val="00971A08"/>
    <w:rsid w:val="00971B77"/>
    <w:rsid w:val="00971C44"/>
    <w:rsid w:val="00971F97"/>
    <w:rsid w:val="009721F2"/>
    <w:rsid w:val="009728C8"/>
    <w:rsid w:val="00973460"/>
    <w:rsid w:val="009736A9"/>
    <w:rsid w:val="00973CCD"/>
    <w:rsid w:val="00973D48"/>
    <w:rsid w:val="00973E95"/>
    <w:rsid w:val="0097457B"/>
    <w:rsid w:val="0097462D"/>
    <w:rsid w:val="009749CE"/>
    <w:rsid w:val="00974A21"/>
    <w:rsid w:val="00974FFB"/>
    <w:rsid w:val="00975298"/>
    <w:rsid w:val="009752F0"/>
    <w:rsid w:val="00975624"/>
    <w:rsid w:val="009759F2"/>
    <w:rsid w:val="00975A23"/>
    <w:rsid w:val="00975B5E"/>
    <w:rsid w:val="00975F11"/>
    <w:rsid w:val="009761F4"/>
    <w:rsid w:val="00976331"/>
    <w:rsid w:val="00976AA9"/>
    <w:rsid w:val="00976E33"/>
    <w:rsid w:val="00976F1D"/>
    <w:rsid w:val="009770CF"/>
    <w:rsid w:val="009776AE"/>
    <w:rsid w:val="00980454"/>
    <w:rsid w:val="009809DF"/>
    <w:rsid w:val="00980A37"/>
    <w:rsid w:val="00980C56"/>
    <w:rsid w:val="00980D71"/>
    <w:rsid w:val="00980E0C"/>
    <w:rsid w:val="009819A8"/>
    <w:rsid w:val="00981E3F"/>
    <w:rsid w:val="00982067"/>
    <w:rsid w:val="00982B08"/>
    <w:rsid w:val="009836B0"/>
    <w:rsid w:val="00983CAB"/>
    <w:rsid w:val="00983F9B"/>
    <w:rsid w:val="0098400E"/>
    <w:rsid w:val="0098423C"/>
    <w:rsid w:val="00984446"/>
    <w:rsid w:val="0098450F"/>
    <w:rsid w:val="009847B8"/>
    <w:rsid w:val="0098537E"/>
    <w:rsid w:val="00985400"/>
    <w:rsid w:val="0098542C"/>
    <w:rsid w:val="00985EA6"/>
    <w:rsid w:val="0098663A"/>
    <w:rsid w:val="0098671B"/>
    <w:rsid w:val="00986A2B"/>
    <w:rsid w:val="00986A4D"/>
    <w:rsid w:val="0098759B"/>
    <w:rsid w:val="0098794C"/>
    <w:rsid w:val="00987AA6"/>
    <w:rsid w:val="00987B44"/>
    <w:rsid w:val="00987C12"/>
    <w:rsid w:val="00990633"/>
    <w:rsid w:val="00990A2E"/>
    <w:rsid w:val="00990B32"/>
    <w:rsid w:val="00991820"/>
    <w:rsid w:val="00991861"/>
    <w:rsid w:val="00991D58"/>
    <w:rsid w:val="00991FE2"/>
    <w:rsid w:val="00992518"/>
    <w:rsid w:val="009925FD"/>
    <w:rsid w:val="00992A66"/>
    <w:rsid w:val="00992F53"/>
    <w:rsid w:val="0099353A"/>
    <w:rsid w:val="00993CE2"/>
    <w:rsid w:val="009940AB"/>
    <w:rsid w:val="009944D8"/>
    <w:rsid w:val="00995027"/>
    <w:rsid w:val="00995BB5"/>
    <w:rsid w:val="00995F64"/>
    <w:rsid w:val="009961E7"/>
    <w:rsid w:val="00996377"/>
    <w:rsid w:val="00996692"/>
    <w:rsid w:val="00996A54"/>
    <w:rsid w:val="00997C97"/>
    <w:rsid w:val="009A03CD"/>
    <w:rsid w:val="009A04CD"/>
    <w:rsid w:val="009A11FF"/>
    <w:rsid w:val="009A1D54"/>
    <w:rsid w:val="009A24A2"/>
    <w:rsid w:val="009A279E"/>
    <w:rsid w:val="009A2848"/>
    <w:rsid w:val="009A2FCB"/>
    <w:rsid w:val="009A3750"/>
    <w:rsid w:val="009A3D0D"/>
    <w:rsid w:val="009A3DB1"/>
    <w:rsid w:val="009A3FE8"/>
    <w:rsid w:val="009A3FF7"/>
    <w:rsid w:val="009A48B5"/>
    <w:rsid w:val="009A4A71"/>
    <w:rsid w:val="009A4E36"/>
    <w:rsid w:val="009A4F2B"/>
    <w:rsid w:val="009A51A7"/>
    <w:rsid w:val="009A53D2"/>
    <w:rsid w:val="009A5441"/>
    <w:rsid w:val="009A5CC2"/>
    <w:rsid w:val="009A5E9E"/>
    <w:rsid w:val="009A64D7"/>
    <w:rsid w:val="009A6C89"/>
    <w:rsid w:val="009A6CA2"/>
    <w:rsid w:val="009A72EA"/>
    <w:rsid w:val="009A735D"/>
    <w:rsid w:val="009A7417"/>
    <w:rsid w:val="009A797A"/>
    <w:rsid w:val="009A7BA7"/>
    <w:rsid w:val="009A7CB3"/>
    <w:rsid w:val="009A7E84"/>
    <w:rsid w:val="009A7EC1"/>
    <w:rsid w:val="009B02F1"/>
    <w:rsid w:val="009B034C"/>
    <w:rsid w:val="009B0EEC"/>
    <w:rsid w:val="009B1069"/>
    <w:rsid w:val="009B1205"/>
    <w:rsid w:val="009B1631"/>
    <w:rsid w:val="009B17F5"/>
    <w:rsid w:val="009B196D"/>
    <w:rsid w:val="009B19D4"/>
    <w:rsid w:val="009B1B6D"/>
    <w:rsid w:val="009B2D3E"/>
    <w:rsid w:val="009B2DAB"/>
    <w:rsid w:val="009B316C"/>
    <w:rsid w:val="009B3434"/>
    <w:rsid w:val="009B354A"/>
    <w:rsid w:val="009B35C4"/>
    <w:rsid w:val="009B36C7"/>
    <w:rsid w:val="009B3986"/>
    <w:rsid w:val="009B3BEC"/>
    <w:rsid w:val="009B432F"/>
    <w:rsid w:val="009B446C"/>
    <w:rsid w:val="009B45F8"/>
    <w:rsid w:val="009B4A68"/>
    <w:rsid w:val="009B4D84"/>
    <w:rsid w:val="009B5160"/>
    <w:rsid w:val="009B53B7"/>
    <w:rsid w:val="009B56FA"/>
    <w:rsid w:val="009B5871"/>
    <w:rsid w:val="009B5CAE"/>
    <w:rsid w:val="009B5FD8"/>
    <w:rsid w:val="009B62B2"/>
    <w:rsid w:val="009B64A6"/>
    <w:rsid w:val="009B664F"/>
    <w:rsid w:val="009B69A4"/>
    <w:rsid w:val="009B6FA1"/>
    <w:rsid w:val="009B73BE"/>
    <w:rsid w:val="009B73E1"/>
    <w:rsid w:val="009B74A7"/>
    <w:rsid w:val="009C00D3"/>
    <w:rsid w:val="009C08C9"/>
    <w:rsid w:val="009C09AB"/>
    <w:rsid w:val="009C102A"/>
    <w:rsid w:val="009C20C3"/>
    <w:rsid w:val="009C2B93"/>
    <w:rsid w:val="009C30E6"/>
    <w:rsid w:val="009C3156"/>
    <w:rsid w:val="009C3794"/>
    <w:rsid w:val="009C3EFF"/>
    <w:rsid w:val="009C4440"/>
    <w:rsid w:val="009C45C9"/>
    <w:rsid w:val="009C4F48"/>
    <w:rsid w:val="009C53E5"/>
    <w:rsid w:val="009C543A"/>
    <w:rsid w:val="009C597C"/>
    <w:rsid w:val="009C5BFD"/>
    <w:rsid w:val="009C5C5A"/>
    <w:rsid w:val="009C5E0E"/>
    <w:rsid w:val="009C5E11"/>
    <w:rsid w:val="009C6142"/>
    <w:rsid w:val="009C627C"/>
    <w:rsid w:val="009C62AB"/>
    <w:rsid w:val="009C6522"/>
    <w:rsid w:val="009C664E"/>
    <w:rsid w:val="009C6852"/>
    <w:rsid w:val="009C6AE0"/>
    <w:rsid w:val="009C7035"/>
    <w:rsid w:val="009C7381"/>
    <w:rsid w:val="009C7693"/>
    <w:rsid w:val="009C7989"/>
    <w:rsid w:val="009D072E"/>
    <w:rsid w:val="009D0798"/>
    <w:rsid w:val="009D0C58"/>
    <w:rsid w:val="009D0C86"/>
    <w:rsid w:val="009D0DDB"/>
    <w:rsid w:val="009D1477"/>
    <w:rsid w:val="009D153A"/>
    <w:rsid w:val="009D1B29"/>
    <w:rsid w:val="009D1B71"/>
    <w:rsid w:val="009D1D66"/>
    <w:rsid w:val="009D1FEE"/>
    <w:rsid w:val="009D2D52"/>
    <w:rsid w:val="009D317F"/>
    <w:rsid w:val="009D3A54"/>
    <w:rsid w:val="009D3AAF"/>
    <w:rsid w:val="009D4304"/>
    <w:rsid w:val="009D43D3"/>
    <w:rsid w:val="009D4462"/>
    <w:rsid w:val="009D44C4"/>
    <w:rsid w:val="009D44D6"/>
    <w:rsid w:val="009D4652"/>
    <w:rsid w:val="009D4768"/>
    <w:rsid w:val="009D4840"/>
    <w:rsid w:val="009D4976"/>
    <w:rsid w:val="009D4BE6"/>
    <w:rsid w:val="009D4BF8"/>
    <w:rsid w:val="009D4CCC"/>
    <w:rsid w:val="009D4E09"/>
    <w:rsid w:val="009D512F"/>
    <w:rsid w:val="009D56EE"/>
    <w:rsid w:val="009D5B18"/>
    <w:rsid w:val="009D6071"/>
    <w:rsid w:val="009D618E"/>
    <w:rsid w:val="009D65B1"/>
    <w:rsid w:val="009D7EF0"/>
    <w:rsid w:val="009D7FAE"/>
    <w:rsid w:val="009E0109"/>
    <w:rsid w:val="009E14AA"/>
    <w:rsid w:val="009E1ADC"/>
    <w:rsid w:val="009E1E99"/>
    <w:rsid w:val="009E2364"/>
    <w:rsid w:val="009E2F90"/>
    <w:rsid w:val="009E3007"/>
    <w:rsid w:val="009E317D"/>
    <w:rsid w:val="009E334F"/>
    <w:rsid w:val="009E447E"/>
    <w:rsid w:val="009E4CA4"/>
    <w:rsid w:val="009E5161"/>
    <w:rsid w:val="009E531C"/>
    <w:rsid w:val="009E5534"/>
    <w:rsid w:val="009E5671"/>
    <w:rsid w:val="009E5F71"/>
    <w:rsid w:val="009E6050"/>
    <w:rsid w:val="009E671A"/>
    <w:rsid w:val="009E7153"/>
    <w:rsid w:val="009E75D3"/>
    <w:rsid w:val="009E788E"/>
    <w:rsid w:val="009E7B78"/>
    <w:rsid w:val="009E7DD2"/>
    <w:rsid w:val="009E7E8D"/>
    <w:rsid w:val="009F0D39"/>
    <w:rsid w:val="009F160B"/>
    <w:rsid w:val="009F1879"/>
    <w:rsid w:val="009F20F3"/>
    <w:rsid w:val="009F218A"/>
    <w:rsid w:val="009F274B"/>
    <w:rsid w:val="009F2A0F"/>
    <w:rsid w:val="009F2E79"/>
    <w:rsid w:val="009F2F4C"/>
    <w:rsid w:val="009F2F77"/>
    <w:rsid w:val="009F3152"/>
    <w:rsid w:val="009F36A1"/>
    <w:rsid w:val="009F3A68"/>
    <w:rsid w:val="009F3BF3"/>
    <w:rsid w:val="009F3DF0"/>
    <w:rsid w:val="009F4074"/>
    <w:rsid w:val="009F4232"/>
    <w:rsid w:val="009F44C8"/>
    <w:rsid w:val="009F49F4"/>
    <w:rsid w:val="009F4C01"/>
    <w:rsid w:val="009F4CB3"/>
    <w:rsid w:val="009F4DF5"/>
    <w:rsid w:val="009F4E92"/>
    <w:rsid w:val="009F651B"/>
    <w:rsid w:val="009F65AA"/>
    <w:rsid w:val="009F6E04"/>
    <w:rsid w:val="009F7101"/>
    <w:rsid w:val="009F78C3"/>
    <w:rsid w:val="009F7907"/>
    <w:rsid w:val="00A000D3"/>
    <w:rsid w:val="00A002ED"/>
    <w:rsid w:val="00A005D9"/>
    <w:rsid w:val="00A00980"/>
    <w:rsid w:val="00A00F4F"/>
    <w:rsid w:val="00A0121A"/>
    <w:rsid w:val="00A0164D"/>
    <w:rsid w:val="00A01C85"/>
    <w:rsid w:val="00A02198"/>
    <w:rsid w:val="00A02897"/>
    <w:rsid w:val="00A02988"/>
    <w:rsid w:val="00A02BDF"/>
    <w:rsid w:val="00A02C59"/>
    <w:rsid w:val="00A0357A"/>
    <w:rsid w:val="00A03CDD"/>
    <w:rsid w:val="00A03DDC"/>
    <w:rsid w:val="00A0412D"/>
    <w:rsid w:val="00A0440E"/>
    <w:rsid w:val="00A04517"/>
    <w:rsid w:val="00A0456E"/>
    <w:rsid w:val="00A048FF"/>
    <w:rsid w:val="00A04A77"/>
    <w:rsid w:val="00A04C8A"/>
    <w:rsid w:val="00A05033"/>
    <w:rsid w:val="00A059B4"/>
    <w:rsid w:val="00A05A7F"/>
    <w:rsid w:val="00A05EEF"/>
    <w:rsid w:val="00A06130"/>
    <w:rsid w:val="00A06247"/>
    <w:rsid w:val="00A06443"/>
    <w:rsid w:val="00A068CC"/>
    <w:rsid w:val="00A06B05"/>
    <w:rsid w:val="00A06DD0"/>
    <w:rsid w:val="00A06F38"/>
    <w:rsid w:val="00A076D6"/>
    <w:rsid w:val="00A07D7C"/>
    <w:rsid w:val="00A07E5C"/>
    <w:rsid w:val="00A10681"/>
    <w:rsid w:val="00A10D9D"/>
    <w:rsid w:val="00A110E3"/>
    <w:rsid w:val="00A1124C"/>
    <w:rsid w:val="00A113C0"/>
    <w:rsid w:val="00A11D12"/>
    <w:rsid w:val="00A121C1"/>
    <w:rsid w:val="00A126D7"/>
    <w:rsid w:val="00A12EB5"/>
    <w:rsid w:val="00A13090"/>
    <w:rsid w:val="00A13D00"/>
    <w:rsid w:val="00A13E74"/>
    <w:rsid w:val="00A13E92"/>
    <w:rsid w:val="00A14790"/>
    <w:rsid w:val="00A14930"/>
    <w:rsid w:val="00A14CCA"/>
    <w:rsid w:val="00A15034"/>
    <w:rsid w:val="00A150C5"/>
    <w:rsid w:val="00A15241"/>
    <w:rsid w:val="00A152B7"/>
    <w:rsid w:val="00A1537C"/>
    <w:rsid w:val="00A15510"/>
    <w:rsid w:val="00A15DB9"/>
    <w:rsid w:val="00A15E13"/>
    <w:rsid w:val="00A1616E"/>
    <w:rsid w:val="00A16351"/>
    <w:rsid w:val="00A16354"/>
    <w:rsid w:val="00A16787"/>
    <w:rsid w:val="00A16D0B"/>
    <w:rsid w:val="00A173C4"/>
    <w:rsid w:val="00A17A18"/>
    <w:rsid w:val="00A17B3D"/>
    <w:rsid w:val="00A17DA5"/>
    <w:rsid w:val="00A17DE5"/>
    <w:rsid w:val="00A17E5E"/>
    <w:rsid w:val="00A2013C"/>
    <w:rsid w:val="00A2021C"/>
    <w:rsid w:val="00A2037C"/>
    <w:rsid w:val="00A20451"/>
    <w:rsid w:val="00A20780"/>
    <w:rsid w:val="00A20A3D"/>
    <w:rsid w:val="00A20C62"/>
    <w:rsid w:val="00A20E3B"/>
    <w:rsid w:val="00A2127B"/>
    <w:rsid w:val="00A217D3"/>
    <w:rsid w:val="00A21CBE"/>
    <w:rsid w:val="00A21DE8"/>
    <w:rsid w:val="00A21F3E"/>
    <w:rsid w:val="00A227D6"/>
    <w:rsid w:val="00A22A5B"/>
    <w:rsid w:val="00A22ED6"/>
    <w:rsid w:val="00A2338C"/>
    <w:rsid w:val="00A23681"/>
    <w:rsid w:val="00A236FE"/>
    <w:rsid w:val="00A23A5C"/>
    <w:rsid w:val="00A24C38"/>
    <w:rsid w:val="00A24D01"/>
    <w:rsid w:val="00A252CD"/>
    <w:rsid w:val="00A25549"/>
    <w:rsid w:val="00A2598D"/>
    <w:rsid w:val="00A2662C"/>
    <w:rsid w:val="00A267CC"/>
    <w:rsid w:val="00A26851"/>
    <w:rsid w:val="00A26C9C"/>
    <w:rsid w:val="00A26DD1"/>
    <w:rsid w:val="00A26E56"/>
    <w:rsid w:val="00A27B6C"/>
    <w:rsid w:val="00A27C16"/>
    <w:rsid w:val="00A27E5D"/>
    <w:rsid w:val="00A309B0"/>
    <w:rsid w:val="00A30B73"/>
    <w:rsid w:val="00A3152D"/>
    <w:rsid w:val="00A31CD0"/>
    <w:rsid w:val="00A31F39"/>
    <w:rsid w:val="00A323C4"/>
    <w:rsid w:val="00A32635"/>
    <w:rsid w:val="00A32C24"/>
    <w:rsid w:val="00A333EF"/>
    <w:rsid w:val="00A33C52"/>
    <w:rsid w:val="00A33E02"/>
    <w:rsid w:val="00A34138"/>
    <w:rsid w:val="00A3419E"/>
    <w:rsid w:val="00A3450A"/>
    <w:rsid w:val="00A34D3A"/>
    <w:rsid w:val="00A3512F"/>
    <w:rsid w:val="00A3542A"/>
    <w:rsid w:val="00A35689"/>
    <w:rsid w:val="00A36A7D"/>
    <w:rsid w:val="00A36D1E"/>
    <w:rsid w:val="00A36F2A"/>
    <w:rsid w:val="00A36F86"/>
    <w:rsid w:val="00A3704C"/>
    <w:rsid w:val="00A3742F"/>
    <w:rsid w:val="00A37529"/>
    <w:rsid w:val="00A376D9"/>
    <w:rsid w:val="00A37CC4"/>
    <w:rsid w:val="00A37EA7"/>
    <w:rsid w:val="00A37F2F"/>
    <w:rsid w:val="00A402F3"/>
    <w:rsid w:val="00A40940"/>
    <w:rsid w:val="00A40DC4"/>
    <w:rsid w:val="00A41768"/>
    <w:rsid w:val="00A417CD"/>
    <w:rsid w:val="00A41B09"/>
    <w:rsid w:val="00A423E7"/>
    <w:rsid w:val="00A424CD"/>
    <w:rsid w:val="00A428A9"/>
    <w:rsid w:val="00A42CCB"/>
    <w:rsid w:val="00A43306"/>
    <w:rsid w:val="00A4346A"/>
    <w:rsid w:val="00A434E7"/>
    <w:rsid w:val="00A44000"/>
    <w:rsid w:val="00A4411B"/>
    <w:rsid w:val="00A443DA"/>
    <w:rsid w:val="00A44834"/>
    <w:rsid w:val="00A44ABF"/>
    <w:rsid w:val="00A44B9B"/>
    <w:rsid w:val="00A4549F"/>
    <w:rsid w:val="00A45696"/>
    <w:rsid w:val="00A457B1"/>
    <w:rsid w:val="00A45831"/>
    <w:rsid w:val="00A45B2C"/>
    <w:rsid w:val="00A45C08"/>
    <w:rsid w:val="00A45E02"/>
    <w:rsid w:val="00A46509"/>
    <w:rsid w:val="00A465BA"/>
    <w:rsid w:val="00A467F7"/>
    <w:rsid w:val="00A46B02"/>
    <w:rsid w:val="00A46C8F"/>
    <w:rsid w:val="00A47104"/>
    <w:rsid w:val="00A4786A"/>
    <w:rsid w:val="00A47989"/>
    <w:rsid w:val="00A47A86"/>
    <w:rsid w:val="00A47D59"/>
    <w:rsid w:val="00A505CB"/>
    <w:rsid w:val="00A50B7F"/>
    <w:rsid w:val="00A5193D"/>
    <w:rsid w:val="00A52001"/>
    <w:rsid w:val="00A52484"/>
    <w:rsid w:val="00A528FE"/>
    <w:rsid w:val="00A53436"/>
    <w:rsid w:val="00A53816"/>
    <w:rsid w:val="00A53A70"/>
    <w:rsid w:val="00A54171"/>
    <w:rsid w:val="00A542F1"/>
    <w:rsid w:val="00A5439F"/>
    <w:rsid w:val="00A54C9A"/>
    <w:rsid w:val="00A552FB"/>
    <w:rsid w:val="00A558AC"/>
    <w:rsid w:val="00A55ACA"/>
    <w:rsid w:val="00A55F39"/>
    <w:rsid w:val="00A56100"/>
    <w:rsid w:val="00A56132"/>
    <w:rsid w:val="00A56250"/>
    <w:rsid w:val="00A57184"/>
    <w:rsid w:val="00A578D4"/>
    <w:rsid w:val="00A57A59"/>
    <w:rsid w:val="00A57D3B"/>
    <w:rsid w:val="00A60060"/>
    <w:rsid w:val="00A60306"/>
    <w:rsid w:val="00A6082B"/>
    <w:rsid w:val="00A61529"/>
    <w:rsid w:val="00A61747"/>
    <w:rsid w:val="00A61D2A"/>
    <w:rsid w:val="00A61E0C"/>
    <w:rsid w:val="00A62396"/>
    <w:rsid w:val="00A62418"/>
    <w:rsid w:val="00A62AE5"/>
    <w:rsid w:val="00A62B5A"/>
    <w:rsid w:val="00A62E0A"/>
    <w:rsid w:val="00A632E2"/>
    <w:rsid w:val="00A63436"/>
    <w:rsid w:val="00A6344E"/>
    <w:rsid w:val="00A6386D"/>
    <w:rsid w:val="00A63928"/>
    <w:rsid w:val="00A63C75"/>
    <w:rsid w:val="00A63C9A"/>
    <w:rsid w:val="00A643EF"/>
    <w:rsid w:val="00A64593"/>
    <w:rsid w:val="00A646E9"/>
    <w:rsid w:val="00A64825"/>
    <w:rsid w:val="00A64CCF"/>
    <w:rsid w:val="00A6500E"/>
    <w:rsid w:val="00A654F0"/>
    <w:rsid w:val="00A65585"/>
    <w:rsid w:val="00A65A48"/>
    <w:rsid w:val="00A65AF9"/>
    <w:rsid w:val="00A65CF8"/>
    <w:rsid w:val="00A6621F"/>
    <w:rsid w:val="00A66319"/>
    <w:rsid w:val="00A66583"/>
    <w:rsid w:val="00A66668"/>
    <w:rsid w:val="00A66EC4"/>
    <w:rsid w:val="00A671C6"/>
    <w:rsid w:val="00A674C8"/>
    <w:rsid w:val="00A67934"/>
    <w:rsid w:val="00A67968"/>
    <w:rsid w:val="00A70666"/>
    <w:rsid w:val="00A706C8"/>
    <w:rsid w:val="00A70B6E"/>
    <w:rsid w:val="00A70F89"/>
    <w:rsid w:val="00A71266"/>
    <w:rsid w:val="00A712A3"/>
    <w:rsid w:val="00A71402"/>
    <w:rsid w:val="00A7143E"/>
    <w:rsid w:val="00A71733"/>
    <w:rsid w:val="00A71B24"/>
    <w:rsid w:val="00A7240B"/>
    <w:rsid w:val="00A72504"/>
    <w:rsid w:val="00A725E5"/>
    <w:rsid w:val="00A7272A"/>
    <w:rsid w:val="00A727CE"/>
    <w:rsid w:val="00A7331D"/>
    <w:rsid w:val="00A7398F"/>
    <w:rsid w:val="00A739DD"/>
    <w:rsid w:val="00A744B8"/>
    <w:rsid w:val="00A74665"/>
    <w:rsid w:val="00A746D9"/>
    <w:rsid w:val="00A7482B"/>
    <w:rsid w:val="00A74BD0"/>
    <w:rsid w:val="00A750CC"/>
    <w:rsid w:val="00A7515D"/>
    <w:rsid w:val="00A75205"/>
    <w:rsid w:val="00A752A1"/>
    <w:rsid w:val="00A75344"/>
    <w:rsid w:val="00A754C7"/>
    <w:rsid w:val="00A7692B"/>
    <w:rsid w:val="00A76DD0"/>
    <w:rsid w:val="00A771C0"/>
    <w:rsid w:val="00A77527"/>
    <w:rsid w:val="00A7787B"/>
    <w:rsid w:val="00A77BB0"/>
    <w:rsid w:val="00A77E12"/>
    <w:rsid w:val="00A800A6"/>
    <w:rsid w:val="00A80414"/>
    <w:rsid w:val="00A80E62"/>
    <w:rsid w:val="00A8166E"/>
    <w:rsid w:val="00A81C4E"/>
    <w:rsid w:val="00A81D93"/>
    <w:rsid w:val="00A8297C"/>
    <w:rsid w:val="00A82E80"/>
    <w:rsid w:val="00A82F56"/>
    <w:rsid w:val="00A83094"/>
    <w:rsid w:val="00A831ED"/>
    <w:rsid w:val="00A83271"/>
    <w:rsid w:val="00A8332E"/>
    <w:rsid w:val="00A84279"/>
    <w:rsid w:val="00A8438E"/>
    <w:rsid w:val="00A8494E"/>
    <w:rsid w:val="00A84BD0"/>
    <w:rsid w:val="00A84EB2"/>
    <w:rsid w:val="00A84F9D"/>
    <w:rsid w:val="00A8526E"/>
    <w:rsid w:val="00A859D5"/>
    <w:rsid w:val="00A85D35"/>
    <w:rsid w:val="00A8604D"/>
    <w:rsid w:val="00A86058"/>
    <w:rsid w:val="00A861B8"/>
    <w:rsid w:val="00A863B2"/>
    <w:rsid w:val="00A866CF"/>
    <w:rsid w:val="00A86DC9"/>
    <w:rsid w:val="00A87F03"/>
    <w:rsid w:val="00A87F36"/>
    <w:rsid w:val="00A905EE"/>
    <w:rsid w:val="00A90DC1"/>
    <w:rsid w:val="00A910F3"/>
    <w:rsid w:val="00A911D7"/>
    <w:rsid w:val="00A91616"/>
    <w:rsid w:val="00A91EB4"/>
    <w:rsid w:val="00A91F60"/>
    <w:rsid w:val="00A920FE"/>
    <w:rsid w:val="00A92110"/>
    <w:rsid w:val="00A92202"/>
    <w:rsid w:val="00A92837"/>
    <w:rsid w:val="00A92987"/>
    <w:rsid w:val="00A92E77"/>
    <w:rsid w:val="00A931F2"/>
    <w:rsid w:val="00A93B98"/>
    <w:rsid w:val="00A94295"/>
    <w:rsid w:val="00A942D6"/>
    <w:rsid w:val="00A95023"/>
    <w:rsid w:val="00A9514E"/>
    <w:rsid w:val="00A95B3C"/>
    <w:rsid w:val="00A95E26"/>
    <w:rsid w:val="00A96113"/>
    <w:rsid w:val="00A965A6"/>
    <w:rsid w:val="00A974E0"/>
    <w:rsid w:val="00A979E7"/>
    <w:rsid w:val="00AA00B0"/>
    <w:rsid w:val="00AA0503"/>
    <w:rsid w:val="00AA0601"/>
    <w:rsid w:val="00AA06DC"/>
    <w:rsid w:val="00AA0C1B"/>
    <w:rsid w:val="00AA0E09"/>
    <w:rsid w:val="00AA0F67"/>
    <w:rsid w:val="00AA11A1"/>
    <w:rsid w:val="00AA1877"/>
    <w:rsid w:val="00AA1934"/>
    <w:rsid w:val="00AA1E49"/>
    <w:rsid w:val="00AA20EA"/>
    <w:rsid w:val="00AA22C3"/>
    <w:rsid w:val="00AA26FF"/>
    <w:rsid w:val="00AA2D28"/>
    <w:rsid w:val="00AA2DAE"/>
    <w:rsid w:val="00AA2E39"/>
    <w:rsid w:val="00AA3F5B"/>
    <w:rsid w:val="00AA3FDA"/>
    <w:rsid w:val="00AA402E"/>
    <w:rsid w:val="00AA4591"/>
    <w:rsid w:val="00AA470D"/>
    <w:rsid w:val="00AA4C88"/>
    <w:rsid w:val="00AA5A03"/>
    <w:rsid w:val="00AA6382"/>
    <w:rsid w:val="00AA63CD"/>
    <w:rsid w:val="00AA63D6"/>
    <w:rsid w:val="00AA6902"/>
    <w:rsid w:val="00AA6922"/>
    <w:rsid w:val="00AA6F3C"/>
    <w:rsid w:val="00AA75DF"/>
    <w:rsid w:val="00AA7DA9"/>
    <w:rsid w:val="00AA7F45"/>
    <w:rsid w:val="00AB0B2D"/>
    <w:rsid w:val="00AB0F74"/>
    <w:rsid w:val="00AB1308"/>
    <w:rsid w:val="00AB1622"/>
    <w:rsid w:val="00AB1787"/>
    <w:rsid w:val="00AB1A7C"/>
    <w:rsid w:val="00AB1B10"/>
    <w:rsid w:val="00AB1BEC"/>
    <w:rsid w:val="00AB277A"/>
    <w:rsid w:val="00AB27EC"/>
    <w:rsid w:val="00AB2870"/>
    <w:rsid w:val="00AB303D"/>
    <w:rsid w:val="00AB343A"/>
    <w:rsid w:val="00AB39B5"/>
    <w:rsid w:val="00AB40F9"/>
    <w:rsid w:val="00AB43F8"/>
    <w:rsid w:val="00AB4625"/>
    <w:rsid w:val="00AB48D3"/>
    <w:rsid w:val="00AB49BD"/>
    <w:rsid w:val="00AB4DF4"/>
    <w:rsid w:val="00AB58C6"/>
    <w:rsid w:val="00AB5DB6"/>
    <w:rsid w:val="00AB67B6"/>
    <w:rsid w:val="00AB6EA0"/>
    <w:rsid w:val="00AB75BC"/>
    <w:rsid w:val="00AB76D9"/>
    <w:rsid w:val="00AB7C68"/>
    <w:rsid w:val="00AC02E5"/>
    <w:rsid w:val="00AC0821"/>
    <w:rsid w:val="00AC0828"/>
    <w:rsid w:val="00AC0C80"/>
    <w:rsid w:val="00AC1104"/>
    <w:rsid w:val="00AC11B2"/>
    <w:rsid w:val="00AC12DA"/>
    <w:rsid w:val="00AC1E72"/>
    <w:rsid w:val="00AC1E73"/>
    <w:rsid w:val="00AC1EF1"/>
    <w:rsid w:val="00AC23CF"/>
    <w:rsid w:val="00AC2CD2"/>
    <w:rsid w:val="00AC2E27"/>
    <w:rsid w:val="00AC2F04"/>
    <w:rsid w:val="00AC2F5D"/>
    <w:rsid w:val="00AC3101"/>
    <w:rsid w:val="00AC32AA"/>
    <w:rsid w:val="00AC383D"/>
    <w:rsid w:val="00AC3F07"/>
    <w:rsid w:val="00AC4164"/>
    <w:rsid w:val="00AC42B4"/>
    <w:rsid w:val="00AC431F"/>
    <w:rsid w:val="00AC43C2"/>
    <w:rsid w:val="00AC4765"/>
    <w:rsid w:val="00AC5596"/>
    <w:rsid w:val="00AC570E"/>
    <w:rsid w:val="00AC594A"/>
    <w:rsid w:val="00AC5C74"/>
    <w:rsid w:val="00AC6102"/>
    <w:rsid w:val="00AC6215"/>
    <w:rsid w:val="00AC6401"/>
    <w:rsid w:val="00AC64F0"/>
    <w:rsid w:val="00AC6B2E"/>
    <w:rsid w:val="00AC6FAA"/>
    <w:rsid w:val="00AC7398"/>
    <w:rsid w:val="00AC785B"/>
    <w:rsid w:val="00AD068D"/>
    <w:rsid w:val="00AD087D"/>
    <w:rsid w:val="00AD0996"/>
    <w:rsid w:val="00AD0C18"/>
    <w:rsid w:val="00AD17C5"/>
    <w:rsid w:val="00AD1888"/>
    <w:rsid w:val="00AD1B84"/>
    <w:rsid w:val="00AD270D"/>
    <w:rsid w:val="00AD2A59"/>
    <w:rsid w:val="00AD2FDA"/>
    <w:rsid w:val="00AD30DD"/>
    <w:rsid w:val="00AD31A1"/>
    <w:rsid w:val="00AD3D82"/>
    <w:rsid w:val="00AD3F9D"/>
    <w:rsid w:val="00AD4084"/>
    <w:rsid w:val="00AD4444"/>
    <w:rsid w:val="00AD4458"/>
    <w:rsid w:val="00AD49CE"/>
    <w:rsid w:val="00AD58A6"/>
    <w:rsid w:val="00AD5DD4"/>
    <w:rsid w:val="00AD5F33"/>
    <w:rsid w:val="00AD6033"/>
    <w:rsid w:val="00AD6209"/>
    <w:rsid w:val="00AD62DF"/>
    <w:rsid w:val="00AD6582"/>
    <w:rsid w:val="00AD68FD"/>
    <w:rsid w:val="00AD6C5E"/>
    <w:rsid w:val="00AD6CC5"/>
    <w:rsid w:val="00AD7020"/>
    <w:rsid w:val="00AD72F0"/>
    <w:rsid w:val="00AD761A"/>
    <w:rsid w:val="00AD7AFA"/>
    <w:rsid w:val="00AE0205"/>
    <w:rsid w:val="00AE04F0"/>
    <w:rsid w:val="00AE0671"/>
    <w:rsid w:val="00AE0F39"/>
    <w:rsid w:val="00AE1000"/>
    <w:rsid w:val="00AE101A"/>
    <w:rsid w:val="00AE1156"/>
    <w:rsid w:val="00AE11E7"/>
    <w:rsid w:val="00AE1420"/>
    <w:rsid w:val="00AE15D3"/>
    <w:rsid w:val="00AE1A72"/>
    <w:rsid w:val="00AE1B7A"/>
    <w:rsid w:val="00AE1C73"/>
    <w:rsid w:val="00AE1EB7"/>
    <w:rsid w:val="00AE21E8"/>
    <w:rsid w:val="00AE2A92"/>
    <w:rsid w:val="00AE2BA6"/>
    <w:rsid w:val="00AE30CA"/>
    <w:rsid w:val="00AE364B"/>
    <w:rsid w:val="00AE3B1C"/>
    <w:rsid w:val="00AE3CCF"/>
    <w:rsid w:val="00AE3F50"/>
    <w:rsid w:val="00AE4399"/>
    <w:rsid w:val="00AE4CE0"/>
    <w:rsid w:val="00AE4D25"/>
    <w:rsid w:val="00AE4E05"/>
    <w:rsid w:val="00AE555D"/>
    <w:rsid w:val="00AE58B7"/>
    <w:rsid w:val="00AE5EA4"/>
    <w:rsid w:val="00AE60FF"/>
    <w:rsid w:val="00AE62FF"/>
    <w:rsid w:val="00AE64A9"/>
    <w:rsid w:val="00AE6684"/>
    <w:rsid w:val="00AE6AFA"/>
    <w:rsid w:val="00AE6B11"/>
    <w:rsid w:val="00AE7592"/>
    <w:rsid w:val="00AE7829"/>
    <w:rsid w:val="00AE7887"/>
    <w:rsid w:val="00AE7DC6"/>
    <w:rsid w:val="00AF071A"/>
    <w:rsid w:val="00AF13C1"/>
    <w:rsid w:val="00AF1B46"/>
    <w:rsid w:val="00AF1EA9"/>
    <w:rsid w:val="00AF1F40"/>
    <w:rsid w:val="00AF20CC"/>
    <w:rsid w:val="00AF250E"/>
    <w:rsid w:val="00AF2BEA"/>
    <w:rsid w:val="00AF2E6C"/>
    <w:rsid w:val="00AF32D1"/>
    <w:rsid w:val="00AF390B"/>
    <w:rsid w:val="00AF3BB1"/>
    <w:rsid w:val="00AF3FA7"/>
    <w:rsid w:val="00AF4000"/>
    <w:rsid w:val="00AF421A"/>
    <w:rsid w:val="00AF491B"/>
    <w:rsid w:val="00AF4965"/>
    <w:rsid w:val="00AF49D7"/>
    <w:rsid w:val="00AF4B61"/>
    <w:rsid w:val="00AF4C4F"/>
    <w:rsid w:val="00AF50FC"/>
    <w:rsid w:val="00AF5224"/>
    <w:rsid w:val="00AF57F2"/>
    <w:rsid w:val="00AF5A66"/>
    <w:rsid w:val="00AF657B"/>
    <w:rsid w:val="00AF6F42"/>
    <w:rsid w:val="00AF6F68"/>
    <w:rsid w:val="00AF703B"/>
    <w:rsid w:val="00AF72F7"/>
    <w:rsid w:val="00AF75F1"/>
    <w:rsid w:val="00AF784B"/>
    <w:rsid w:val="00AF7D31"/>
    <w:rsid w:val="00B00454"/>
    <w:rsid w:val="00B00943"/>
    <w:rsid w:val="00B0123E"/>
    <w:rsid w:val="00B012CD"/>
    <w:rsid w:val="00B0159B"/>
    <w:rsid w:val="00B01F63"/>
    <w:rsid w:val="00B01F76"/>
    <w:rsid w:val="00B0206F"/>
    <w:rsid w:val="00B02571"/>
    <w:rsid w:val="00B02EA4"/>
    <w:rsid w:val="00B02EAD"/>
    <w:rsid w:val="00B033E6"/>
    <w:rsid w:val="00B03743"/>
    <w:rsid w:val="00B03949"/>
    <w:rsid w:val="00B03A47"/>
    <w:rsid w:val="00B03CFB"/>
    <w:rsid w:val="00B03F49"/>
    <w:rsid w:val="00B03F73"/>
    <w:rsid w:val="00B04003"/>
    <w:rsid w:val="00B04571"/>
    <w:rsid w:val="00B04969"/>
    <w:rsid w:val="00B05426"/>
    <w:rsid w:val="00B05711"/>
    <w:rsid w:val="00B05814"/>
    <w:rsid w:val="00B05917"/>
    <w:rsid w:val="00B059D8"/>
    <w:rsid w:val="00B05AB5"/>
    <w:rsid w:val="00B05C55"/>
    <w:rsid w:val="00B05EF5"/>
    <w:rsid w:val="00B06496"/>
    <w:rsid w:val="00B065D8"/>
    <w:rsid w:val="00B07204"/>
    <w:rsid w:val="00B07311"/>
    <w:rsid w:val="00B073F3"/>
    <w:rsid w:val="00B0742C"/>
    <w:rsid w:val="00B078FF"/>
    <w:rsid w:val="00B07B6D"/>
    <w:rsid w:val="00B07B8B"/>
    <w:rsid w:val="00B1017A"/>
    <w:rsid w:val="00B1022D"/>
    <w:rsid w:val="00B1045D"/>
    <w:rsid w:val="00B105B3"/>
    <w:rsid w:val="00B109D2"/>
    <w:rsid w:val="00B10E73"/>
    <w:rsid w:val="00B10F82"/>
    <w:rsid w:val="00B11415"/>
    <w:rsid w:val="00B11ABD"/>
    <w:rsid w:val="00B12143"/>
    <w:rsid w:val="00B1238B"/>
    <w:rsid w:val="00B1244E"/>
    <w:rsid w:val="00B12629"/>
    <w:rsid w:val="00B12D53"/>
    <w:rsid w:val="00B131A0"/>
    <w:rsid w:val="00B13C07"/>
    <w:rsid w:val="00B1411E"/>
    <w:rsid w:val="00B1472E"/>
    <w:rsid w:val="00B14AF8"/>
    <w:rsid w:val="00B14EEA"/>
    <w:rsid w:val="00B1505C"/>
    <w:rsid w:val="00B15117"/>
    <w:rsid w:val="00B15121"/>
    <w:rsid w:val="00B1529B"/>
    <w:rsid w:val="00B155F7"/>
    <w:rsid w:val="00B1560D"/>
    <w:rsid w:val="00B15B72"/>
    <w:rsid w:val="00B1698A"/>
    <w:rsid w:val="00B16FF3"/>
    <w:rsid w:val="00B203B4"/>
    <w:rsid w:val="00B20406"/>
    <w:rsid w:val="00B207D2"/>
    <w:rsid w:val="00B208ED"/>
    <w:rsid w:val="00B2123E"/>
    <w:rsid w:val="00B21635"/>
    <w:rsid w:val="00B21721"/>
    <w:rsid w:val="00B217F5"/>
    <w:rsid w:val="00B21869"/>
    <w:rsid w:val="00B21DBF"/>
    <w:rsid w:val="00B21FBC"/>
    <w:rsid w:val="00B226DB"/>
    <w:rsid w:val="00B22A5C"/>
    <w:rsid w:val="00B22B6D"/>
    <w:rsid w:val="00B23357"/>
    <w:rsid w:val="00B236EA"/>
    <w:rsid w:val="00B239F0"/>
    <w:rsid w:val="00B23F27"/>
    <w:rsid w:val="00B2499A"/>
    <w:rsid w:val="00B24DFA"/>
    <w:rsid w:val="00B25093"/>
    <w:rsid w:val="00B25499"/>
    <w:rsid w:val="00B258AD"/>
    <w:rsid w:val="00B269C1"/>
    <w:rsid w:val="00B26D5A"/>
    <w:rsid w:val="00B270E5"/>
    <w:rsid w:val="00B2754B"/>
    <w:rsid w:val="00B27552"/>
    <w:rsid w:val="00B27768"/>
    <w:rsid w:val="00B27878"/>
    <w:rsid w:val="00B27B18"/>
    <w:rsid w:val="00B27D35"/>
    <w:rsid w:val="00B27E4C"/>
    <w:rsid w:val="00B30294"/>
    <w:rsid w:val="00B304B6"/>
    <w:rsid w:val="00B30632"/>
    <w:rsid w:val="00B30A45"/>
    <w:rsid w:val="00B30D47"/>
    <w:rsid w:val="00B311A8"/>
    <w:rsid w:val="00B315BF"/>
    <w:rsid w:val="00B31D57"/>
    <w:rsid w:val="00B32037"/>
    <w:rsid w:val="00B32176"/>
    <w:rsid w:val="00B32573"/>
    <w:rsid w:val="00B326EA"/>
    <w:rsid w:val="00B327B8"/>
    <w:rsid w:val="00B335E3"/>
    <w:rsid w:val="00B33AD1"/>
    <w:rsid w:val="00B34D4F"/>
    <w:rsid w:val="00B34E1E"/>
    <w:rsid w:val="00B3572F"/>
    <w:rsid w:val="00B35EB4"/>
    <w:rsid w:val="00B3634A"/>
    <w:rsid w:val="00B36987"/>
    <w:rsid w:val="00B36C5B"/>
    <w:rsid w:val="00B3754A"/>
    <w:rsid w:val="00B37B91"/>
    <w:rsid w:val="00B37C61"/>
    <w:rsid w:val="00B40A9E"/>
    <w:rsid w:val="00B40C0A"/>
    <w:rsid w:val="00B40EFF"/>
    <w:rsid w:val="00B4133D"/>
    <w:rsid w:val="00B41462"/>
    <w:rsid w:val="00B4174B"/>
    <w:rsid w:val="00B418AA"/>
    <w:rsid w:val="00B41D0F"/>
    <w:rsid w:val="00B4261D"/>
    <w:rsid w:val="00B42A07"/>
    <w:rsid w:val="00B42A0B"/>
    <w:rsid w:val="00B437EE"/>
    <w:rsid w:val="00B43E66"/>
    <w:rsid w:val="00B44138"/>
    <w:rsid w:val="00B4415C"/>
    <w:rsid w:val="00B445E1"/>
    <w:rsid w:val="00B449F4"/>
    <w:rsid w:val="00B453D3"/>
    <w:rsid w:val="00B45569"/>
    <w:rsid w:val="00B45824"/>
    <w:rsid w:val="00B46776"/>
    <w:rsid w:val="00B46D7B"/>
    <w:rsid w:val="00B46F41"/>
    <w:rsid w:val="00B47A49"/>
    <w:rsid w:val="00B50E82"/>
    <w:rsid w:val="00B5132D"/>
    <w:rsid w:val="00B51403"/>
    <w:rsid w:val="00B516BC"/>
    <w:rsid w:val="00B52C29"/>
    <w:rsid w:val="00B533BC"/>
    <w:rsid w:val="00B535CF"/>
    <w:rsid w:val="00B53AD3"/>
    <w:rsid w:val="00B53CA2"/>
    <w:rsid w:val="00B54577"/>
    <w:rsid w:val="00B54787"/>
    <w:rsid w:val="00B547AC"/>
    <w:rsid w:val="00B54978"/>
    <w:rsid w:val="00B55013"/>
    <w:rsid w:val="00B5599B"/>
    <w:rsid w:val="00B55C68"/>
    <w:rsid w:val="00B55DA7"/>
    <w:rsid w:val="00B5633F"/>
    <w:rsid w:val="00B564F5"/>
    <w:rsid w:val="00B56572"/>
    <w:rsid w:val="00B565BC"/>
    <w:rsid w:val="00B56624"/>
    <w:rsid w:val="00B5674D"/>
    <w:rsid w:val="00B5677F"/>
    <w:rsid w:val="00B5680B"/>
    <w:rsid w:val="00B56983"/>
    <w:rsid w:val="00B56CE7"/>
    <w:rsid w:val="00B574A0"/>
    <w:rsid w:val="00B575FB"/>
    <w:rsid w:val="00B57CF7"/>
    <w:rsid w:val="00B57D74"/>
    <w:rsid w:val="00B6039A"/>
    <w:rsid w:val="00B6046D"/>
    <w:rsid w:val="00B60D86"/>
    <w:rsid w:val="00B61048"/>
    <w:rsid w:val="00B623D4"/>
    <w:rsid w:val="00B62731"/>
    <w:rsid w:val="00B627EE"/>
    <w:rsid w:val="00B6282F"/>
    <w:rsid w:val="00B62CE7"/>
    <w:rsid w:val="00B62DEC"/>
    <w:rsid w:val="00B62F76"/>
    <w:rsid w:val="00B631B1"/>
    <w:rsid w:val="00B63371"/>
    <w:rsid w:val="00B639C1"/>
    <w:rsid w:val="00B63B3A"/>
    <w:rsid w:val="00B642E7"/>
    <w:rsid w:val="00B64589"/>
    <w:rsid w:val="00B64810"/>
    <w:rsid w:val="00B64846"/>
    <w:rsid w:val="00B64E7B"/>
    <w:rsid w:val="00B64F1E"/>
    <w:rsid w:val="00B64F6F"/>
    <w:rsid w:val="00B6503B"/>
    <w:rsid w:val="00B65429"/>
    <w:rsid w:val="00B654DE"/>
    <w:rsid w:val="00B65AE8"/>
    <w:rsid w:val="00B6620B"/>
    <w:rsid w:val="00B6631B"/>
    <w:rsid w:val="00B6658B"/>
    <w:rsid w:val="00B66A44"/>
    <w:rsid w:val="00B66A76"/>
    <w:rsid w:val="00B66AC4"/>
    <w:rsid w:val="00B66C7B"/>
    <w:rsid w:val="00B673D2"/>
    <w:rsid w:val="00B675C0"/>
    <w:rsid w:val="00B6785A"/>
    <w:rsid w:val="00B67F46"/>
    <w:rsid w:val="00B7017A"/>
    <w:rsid w:val="00B7023D"/>
    <w:rsid w:val="00B7034E"/>
    <w:rsid w:val="00B705E7"/>
    <w:rsid w:val="00B71115"/>
    <w:rsid w:val="00B71318"/>
    <w:rsid w:val="00B71BDD"/>
    <w:rsid w:val="00B71BE9"/>
    <w:rsid w:val="00B71F10"/>
    <w:rsid w:val="00B7246C"/>
    <w:rsid w:val="00B72D22"/>
    <w:rsid w:val="00B7321B"/>
    <w:rsid w:val="00B7338E"/>
    <w:rsid w:val="00B73829"/>
    <w:rsid w:val="00B73D4C"/>
    <w:rsid w:val="00B73D4D"/>
    <w:rsid w:val="00B73FFA"/>
    <w:rsid w:val="00B74732"/>
    <w:rsid w:val="00B74754"/>
    <w:rsid w:val="00B748DD"/>
    <w:rsid w:val="00B74C04"/>
    <w:rsid w:val="00B75918"/>
    <w:rsid w:val="00B75B4C"/>
    <w:rsid w:val="00B75C4A"/>
    <w:rsid w:val="00B76525"/>
    <w:rsid w:val="00B76C54"/>
    <w:rsid w:val="00B76F9A"/>
    <w:rsid w:val="00B770B7"/>
    <w:rsid w:val="00B7787D"/>
    <w:rsid w:val="00B804E1"/>
    <w:rsid w:val="00B8071C"/>
    <w:rsid w:val="00B808E7"/>
    <w:rsid w:val="00B81298"/>
    <w:rsid w:val="00B81486"/>
    <w:rsid w:val="00B81557"/>
    <w:rsid w:val="00B818FE"/>
    <w:rsid w:val="00B81F02"/>
    <w:rsid w:val="00B821CA"/>
    <w:rsid w:val="00B8268E"/>
    <w:rsid w:val="00B827F7"/>
    <w:rsid w:val="00B82908"/>
    <w:rsid w:val="00B82A39"/>
    <w:rsid w:val="00B8341C"/>
    <w:rsid w:val="00B836C2"/>
    <w:rsid w:val="00B83CAA"/>
    <w:rsid w:val="00B83D5E"/>
    <w:rsid w:val="00B83EFF"/>
    <w:rsid w:val="00B847CE"/>
    <w:rsid w:val="00B84DBD"/>
    <w:rsid w:val="00B85127"/>
    <w:rsid w:val="00B85226"/>
    <w:rsid w:val="00B8550F"/>
    <w:rsid w:val="00B856B8"/>
    <w:rsid w:val="00B85853"/>
    <w:rsid w:val="00B86052"/>
    <w:rsid w:val="00B8716A"/>
    <w:rsid w:val="00B87671"/>
    <w:rsid w:val="00B876C1"/>
    <w:rsid w:val="00B878F6"/>
    <w:rsid w:val="00B87C45"/>
    <w:rsid w:val="00B87F5E"/>
    <w:rsid w:val="00B9070C"/>
    <w:rsid w:val="00B90A3A"/>
    <w:rsid w:val="00B90FFF"/>
    <w:rsid w:val="00B91265"/>
    <w:rsid w:val="00B91629"/>
    <w:rsid w:val="00B918EB"/>
    <w:rsid w:val="00B91BF5"/>
    <w:rsid w:val="00B91DC0"/>
    <w:rsid w:val="00B91F18"/>
    <w:rsid w:val="00B92D11"/>
    <w:rsid w:val="00B93188"/>
    <w:rsid w:val="00B93541"/>
    <w:rsid w:val="00B93D28"/>
    <w:rsid w:val="00B93DE1"/>
    <w:rsid w:val="00B93E9A"/>
    <w:rsid w:val="00B9447E"/>
    <w:rsid w:val="00B94CE6"/>
    <w:rsid w:val="00B9500D"/>
    <w:rsid w:val="00B9507E"/>
    <w:rsid w:val="00B95D03"/>
    <w:rsid w:val="00B96563"/>
    <w:rsid w:val="00B97054"/>
    <w:rsid w:val="00BA0625"/>
    <w:rsid w:val="00BA06C0"/>
    <w:rsid w:val="00BA0B1C"/>
    <w:rsid w:val="00BA1381"/>
    <w:rsid w:val="00BA1577"/>
    <w:rsid w:val="00BA15E9"/>
    <w:rsid w:val="00BA16E1"/>
    <w:rsid w:val="00BA175D"/>
    <w:rsid w:val="00BA1767"/>
    <w:rsid w:val="00BA22B2"/>
    <w:rsid w:val="00BA23DD"/>
    <w:rsid w:val="00BA2AE1"/>
    <w:rsid w:val="00BA2EB4"/>
    <w:rsid w:val="00BA2F02"/>
    <w:rsid w:val="00BA3009"/>
    <w:rsid w:val="00BA32E5"/>
    <w:rsid w:val="00BA344A"/>
    <w:rsid w:val="00BA3B2F"/>
    <w:rsid w:val="00BA3C28"/>
    <w:rsid w:val="00BA450E"/>
    <w:rsid w:val="00BA45D4"/>
    <w:rsid w:val="00BA4694"/>
    <w:rsid w:val="00BA46DF"/>
    <w:rsid w:val="00BA49F3"/>
    <w:rsid w:val="00BA4A72"/>
    <w:rsid w:val="00BA4A91"/>
    <w:rsid w:val="00BA4D19"/>
    <w:rsid w:val="00BA5A0A"/>
    <w:rsid w:val="00BA5C2A"/>
    <w:rsid w:val="00BA5DAD"/>
    <w:rsid w:val="00BA5EF3"/>
    <w:rsid w:val="00BA71EC"/>
    <w:rsid w:val="00BA79B3"/>
    <w:rsid w:val="00BA7A0B"/>
    <w:rsid w:val="00BB0841"/>
    <w:rsid w:val="00BB1944"/>
    <w:rsid w:val="00BB1B75"/>
    <w:rsid w:val="00BB1BAD"/>
    <w:rsid w:val="00BB2196"/>
    <w:rsid w:val="00BB22EF"/>
    <w:rsid w:val="00BB24EF"/>
    <w:rsid w:val="00BB2ABE"/>
    <w:rsid w:val="00BB3712"/>
    <w:rsid w:val="00BB38C8"/>
    <w:rsid w:val="00BB393E"/>
    <w:rsid w:val="00BB3F0F"/>
    <w:rsid w:val="00BB42DE"/>
    <w:rsid w:val="00BB447E"/>
    <w:rsid w:val="00BB464D"/>
    <w:rsid w:val="00BB47C7"/>
    <w:rsid w:val="00BB48FD"/>
    <w:rsid w:val="00BB4E45"/>
    <w:rsid w:val="00BB5B51"/>
    <w:rsid w:val="00BB5B87"/>
    <w:rsid w:val="00BB5D9A"/>
    <w:rsid w:val="00BB60F5"/>
    <w:rsid w:val="00BB6C45"/>
    <w:rsid w:val="00BB6C99"/>
    <w:rsid w:val="00BB6CE2"/>
    <w:rsid w:val="00BB6E9C"/>
    <w:rsid w:val="00BB7011"/>
    <w:rsid w:val="00BB70D6"/>
    <w:rsid w:val="00BB7271"/>
    <w:rsid w:val="00BC02B6"/>
    <w:rsid w:val="00BC0F9A"/>
    <w:rsid w:val="00BC16A1"/>
    <w:rsid w:val="00BC16D1"/>
    <w:rsid w:val="00BC1C68"/>
    <w:rsid w:val="00BC1CFC"/>
    <w:rsid w:val="00BC22FA"/>
    <w:rsid w:val="00BC27D2"/>
    <w:rsid w:val="00BC28DC"/>
    <w:rsid w:val="00BC2DC6"/>
    <w:rsid w:val="00BC2F07"/>
    <w:rsid w:val="00BC2F21"/>
    <w:rsid w:val="00BC301E"/>
    <w:rsid w:val="00BC30C3"/>
    <w:rsid w:val="00BC3693"/>
    <w:rsid w:val="00BC410F"/>
    <w:rsid w:val="00BC42E2"/>
    <w:rsid w:val="00BC4743"/>
    <w:rsid w:val="00BC4A49"/>
    <w:rsid w:val="00BC4B79"/>
    <w:rsid w:val="00BC520B"/>
    <w:rsid w:val="00BC5FBF"/>
    <w:rsid w:val="00BC6459"/>
    <w:rsid w:val="00BC6756"/>
    <w:rsid w:val="00BC6953"/>
    <w:rsid w:val="00BC69AC"/>
    <w:rsid w:val="00BC6E6A"/>
    <w:rsid w:val="00BC6F7A"/>
    <w:rsid w:val="00BC70AE"/>
    <w:rsid w:val="00BC7971"/>
    <w:rsid w:val="00BD003E"/>
    <w:rsid w:val="00BD07BB"/>
    <w:rsid w:val="00BD0FFE"/>
    <w:rsid w:val="00BD10EE"/>
    <w:rsid w:val="00BD1477"/>
    <w:rsid w:val="00BD1855"/>
    <w:rsid w:val="00BD1A3F"/>
    <w:rsid w:val="00BD1E13"/>
    <w:rsid w:val="00BD1EA3"/>
    <w:rsid w:val="00BD1FE3"/>
    <w:rsid w:val="00BD225B"/>
    <w:rsid w:val="00BD27C2"/>
    <w:rsid w:val="00BD2B12"/>
    <w:rsid w:val="00BD3086"/>
    <w:rsid w:val="00BD34B3"/>
    <w:rsid w:val="00BD3883"/>
    <w:rsid w:val="00BD3AA9"/>
    <w:rsid w:val="00BD3FD0"/>
    <w:rsid w:val="00BD4D76"/>
    <w:rsid w:val="00BD4DFD"/>
    <w:rsid w:val="00BD589E"/>
    <w:rsid w:val="00BD5915"/>
    <w:rsid w:val="00BD5BFE"/>
    <w:rsid w:val="00BD60FB"/>
    <w:rsid w:val="00BD63B0"/>
    <w:rsid w:val="00BD6841"/>
    <w:rsid w:val="00BD6C9F"/>
    <w:rsid w:val="00BD6CF6"/>
    <w:rsid w:val="00BD7131"/>
    <w:rsid w:val="00BD7588"/>
    <w:rsid w:val="00BD7683"/>
    <w:rsid w:val="00BE007C"/>
    <w:rsid w:val="00BE023E"/>
    <w:rsid w:val="00BE039D"/>
    <w:rsid w:val="00BE0676"/>
    <w:rsid w:val="00BE07CF"/>
    <w:rsid w:val="00BE0C65"/>
    <w:rsid w:val="00BE0D11"/>
    <w:rsid w:val="00BE1339"/>
    <w:rsid w:val="00BE13FF"/>
    <w:rsid w:val="00BE162F"/>
    <w:rsid w:val="00BE19B0"/>
    <w:rsid w:val="00BE1B4D"/>
    <w:rsid w:val="00BE1C2B"/>
    <w:rsid w:val="00BE1D67"/>
    <w:rsid w:val="00BE2345"/>
    <w:rsid w:val="00BE27A0"/>
    <w:rsid w:val="00BE2A75"/>
    <w:rsid w:val="00BE31EC"/>
    <w:rsid w:val="00BE3408"/>
    <w:rsid w:val="00BE3572"/>
    <w:rsid w:val="00BE3746"/>
    <w:rsid w:val="00BE3C12"/>
    <w:rsid w:val="00BE3CD6"/>
    <w:rsid w:val="00BE3E36"/>
    <w:rsid w:val="00BE4812"/>
    <w:rsid w:val="00BE49DF"/>
    <w:rsid w:val="00BE4CD4"/>
    <w:rsid w:val="00BE4D00"/>
    <w:rsid w:val="00BE4ECD"/>
    <w:rsid w:val="00BE500D"/>
    <w:rsid w:val="00BE5063"/>
    <w:rsid w:val="00BE51DC"/>
    <w:rsid w:val="00BE525F"/>
    <w:rsid w:val="00BE5331"/>
    <w:rsid w:val="00BE540C"/>
    <w:rsid w:val="00BE552E"/>
    <w:rsid w:val="00BE5B55"/>
    <w:rsid w:val="00BE63FE"/>
    <w:rsid w:val="00BE66D2"/>
    <w:rsid w:val="00BE742E"/>
    <w:rsid w:val="00BE7BD2"/>
    <w:rsid w:val="00BE7D04"/>
    <w:rsid w:val="00BE7D78"/>
    <w:rsid w:val="00BF0514"/>
    <w:rsid w:val="00BF0AD9"/>
    <w:rsid w:val="00BF0EC9"/>
    <w:rsid w:val="00BF1113"/>
    <w:rsid w:val="00BF190B"/>
    <w:rsid w:val="00BF1CE8"/>
    <w:rsid w:val="00BF1D27"/>
    <w:rsid w:val="00BF212F"/>
    <w:rsid w:val="00BF2138"/>
    <w:rsid w:val="00BF21E6"/>
    <w:rsid w:val="00BF2219"/>
    <w:rsid w:val="00BF2501"/>
    <w:rsid w:val="00BF269B"/>
    <w:rsid w:val="00BF26CA"/>
    <w:rsid w:val="00BF290B"/>
    <w:rsid w:val="00BF2D66"/>
    <w:rsid w:val="00BF34B8"/>
    <w:rsid w:val="00BF3625"/>
    <w:rsid w:val="00BF3731"/>
    <w:rsid w:val="00BF3822"/>
    <w:rsid w:val="00BF3B65"/>
    <w:rsid w:val="00BF3F15"/>
    <w:rsid w:val="00BF438C"/>
    <w:rsid w:val="00BF455D"/>
    <w:rsid w:val="00BF4BC4"/>
    <w:rsid w:val="00BF4FDA"/>
    <w:rsid w:val="00BF5538"/>
    <w:rsid w:val="00BF590D"/>
    <w:rsid w:val="00BF5C6F"/>
    <w:rsid w:val="00BF6B3B"/>
    <w:rsid w:val="00BF6DDA"/>
    <w:rsid w:val="00BF7066"/>
    <w:rsid w:val="00BF744B"/>
    <w:rsid w:val="00BF77AC"/>
    <w:rsid w:val="00BF79E7"/>
    <w:rsid w:val="00BF7EE8"/>
    <w:rsid w:val="00C0005C"/>
    <w:rsid w:val="00C00115"/>
    <w:rsid w:val="00C003BE"/>
    <w:rsid w:val="00C005F1"/>
    <w:rsid w:val="00C006CC"/>
    <w:rsid w:val="00C00ECF"/>
    <w:rsid w:val="00C01215"/>
    <w:rsid w:val="00C0139A"/>
    <w:rsid w:val="00C0145F"/>
    <w:rsid w:val="00C01643"/>
    <w:rsid w:val="00C016F8"/>
    <w:rsid w:val="00C0176B"/>
    <w:rsid w:val="00C01913"/>
    <w:rsid w:val="00C02060"/>
    <w:rsid w:val="00C020C1"/>
    <w:rsid w:val="00C0255A"/>
    <w:rsid w:val="00C025EF"/>
    <w:rsid w:val="00C026D5"/>
    <w:rsid w:val="00C027AD"/>
    <w:rsid w:val="00C0292D"/>
    <w:rsid w:val="00C02E27"/>
    <w:rsid w:val="00C033D7"/>
    <w:rsid w:val="00C037CA"/>
    <w:rsid w:val="00C03F80"/>
    <w:rsid w:val="00C04481"/>
    <w:rsid w:val="00C04583"/>
    <w:rsid w:val="00C04E87"/>
    <w:rsid w:val="00C04EA7"/>
    <w:rsid w:val="00C0524C"/>
    <w:rsid w:val="00C05952"/>
    <w:rsid w:val="00C05FBA"/>
    <w:rsid w:val="00C067A9"/>
    <w:rsid w:val="00C06A5A"/>
    <w:rsid w:val="00C06E59"/>
    <w:rsid w:val="00C0706B"/>
    <w:rsid w:val="00C072C1"/>
    <w:rsid w:val="00C072FB"/>
    <w:rsid w:val="00C07F02"/>
    <w:rsid w:val="00C1001F"/>
    <w:rsid w:val="00C10297"/>
    <w:rsid w:val="00C108C1"/>
    <w:rsid w:val="00C10EA4"/>
    <w:rsid w:val="00C111D0"/>
    <w:rsid w:val="00C117D6"/>
    <w:rsid w:val="00C11A9A"/>
    <w:rsid w:val="00C11AEA"/>
    <w:rsid w:val="00C11B65"/>
    <w:rsid w:val="00C11EF5"/>
    <w:rsid w:val="00C120A2"/>
    <w:rsid w:val="00C1215B"/>
    <w:rsid w:val="00C12465"/>
    <w:rsid w:val="00C12C30"/>
    <w:rsid w:val="00C12E83"/>
    <w:rsid w:val="00C130D4"/>
    <w:rsid w:val="00C1315E"/>
    <w:rsid w:val="00C1358F"/>
    <w:rsid w:val="00C13982"/>
    <w:rsid w:val="00C1461D"/>
    <w:rsid w:val="00C1467A"/>
    <w:rsid w:val="00C14D05"/>
    <w:rsid w:val="00C15A41"/>
    <w:rsid w:val="00C15D38"/>
    <w:rsid w:val="00C15F6D"/>
    <w:rsid w:val="00C16751"/>
    <w:rsid w:val="00C1685B"/>
    <w:rsid w:val="00C16A78"/>
    <w:rsid w:val="00C177FB"/>
    <w:rsid w:val="00C179C9"/>
    <w:rsid w:val="00C17C12"/>
    <w:rsid w:val="00C17FEB"/>
    <w:rsid w:val="00C20181"/>
    <w:rsid w:val="00C201A1"/>
    <w:rsid w:val="00C202C2"/>
    <w:rsid w:val="00C20946"/>
    <w:rsid w:val="00C20E2A"/>
    <w:rsid w:val="00C21331"/>
    <w:rsid w:val="00C2199D"/>
    <w:rsid w:val="00C225BB"/>
    <w:rsid w:val="00C2265C"/>
    <w:rsid w:val="00C2289F"/>
    <w:rsid w:val="00C231DF"/>
    <w:rsid w:val="00C233F6"/>
    <w:rsid w:val="00C23593"/>
    <w:rsid w:val="00C23EA2"/>
    <w:rsid w:val="00C23F9F"/>
    <w:rsid w:val="00C2421B"/>
    <w:rsid w:val="00C242E1"/>
    <w:rsid w:val="00C24B21"/>
    <w:rsid w:val="00C24B25"/>
    <w:rsid w:val="00C24D40"/>
    <w:rsid w:val="00C24E07"/>
    <w:rsid w:val="00C250C9"/>
    <w:rsid w:val="00C251B6"/>
    <w:rsid w:val="00C251BA"/>
    <w:rsid w:val="00C25336"/>
    <w:rsid w:val="00C25432"/>
    <w:rsid w:val="00C2566A"/>
    <w:rsid w:val="00C25B4B"/>
    <w:rsid w:val="00C263C2"/>
    <w:rsid w:val="00C266E6"/>
    <w:rsid w:val="00C26BF1"/>
    <w:rsid w:val="00C26F35"/>
    <w:rsid w:val="00C2715F"/>
    <w:rsid w:val="00C273B4"/>
    <w:rsid w:val="00C27401"/>
    <w:rsid w:val="00C27768"/>
    <w:rsid w:val="00C27AC9"/>
    <w:rsid w:val="00C27B8A"/>
    <w:rsid w:val="00C27C57"/>
    <w:rsid w:val="00C3061C"/>
    <w:rsid w:val="00C30B94"/>
    <w:rsid w:val="00C30BF2"/>
    <w:rsid w:val="00C30C1B"/>
    <w:rsid w:val="00C311A9"/>
    <w:rsid w:val="00C31D0F"/>
    <w:rsid w:val="00C31EF3"/>
    <w:rsid w:val="00C3227A"/>
    <w:rsid w:val="00C32C1D"/>
    <w:rsid w:val="00C32C5C"/>
    <w:rsid w:val="00C32E53"/>
    <w:rsid w:val="00C32EE2"/>
    <w:rsid w:val="00C32F82"/>
    <w:rsid w:val="00C33B28"/>
    <w:rsid w:val="00C3439A"/>
    <w:rsid w:val="00C34822"/>
    <w:rsid w:val="00C349B4"/>
    <w:rsid w:val="00C34C9B"/>
    <w:rsid w:val="00C34F4F"/>
    <w:rsid w:val="00C350B0"/>
    <w:rsid w:val="00C352B6"/>
    <w:rsid w:val="00C35404"/>
    <w:rsid w:val="00C3561B"/>
    <w:rsid w:val="00C356E9"/>
    <w:rsid w:val="00C356FA"/>
    <w:rsid w:val="00C35EB6"/>
    <w:rsid w:val="00C3638E"/>
    <w:rsid w:val="00C364A2"/>
    <w:rsid w:val="00C366D7"/>
    <w:rsid w:val="00C36D22"/>
    <w:rsid w:val="00C37330"/>
    <w:rsid w:val="00C376DF"/>
    <w:rsid w:val="00C37991"/>
    <w:rsid w:val="00C37AE4"/>
    <w:rsid w:val="00C37C01"/>
    <w:rsid w:val="00C404CE"/>
    <w:rsid w:val="00C408C1"/>
    <w:rsid w:val="00C40D36"/>
    <w:rsid w:val="00C41764"/>
    <w:rsid w:val="00C41D05"/>
    <w:rsid w:val="00C41EDF"/>
    <w:rsid w:val="00C421F4"/>
    <w:rsid w:val="00C423ED"/>
    <w:rsid w:val="00C42B39"/>
    <w:rsid w:val="00C42EB6"/>
    <w:rsid w:val="00C430DA"/>
    <w:rsid w:val="00C4354D"/>
    <w:rsid w:val="00C435A2"/>
    <w:rsid w:val="00C4375A"/>
    <w:rsid w:val="00C440F7"/>
    <w:rsid w:val="00C4412D"/>
    <w:rsid w:val="00C442DD"/>
    <w:rsid w:val="00C44330"/>
    <w:rsid w:val="00C44472"/>
    <w:rsid w:val="00C44D57"/>
    <w:rsid w:val="00C4501A"/>
    <w:rsid w:val="00C450BE"/>
    <w:rsid w:val="00C4519F"/>
    <w:rsid w:val="00C45382"/>
    <w:rsid w:val="00C454A3"/>
    <w:rsid w:val="00C45C74"/>
    <w:rsid w:val="00C461D2"/>
    <w:rsid w:val="00C4629B"/>
    <w:rsid w:val="00C463A2"/>
    <w:rsid w:val="00C46464"/>
    <w:rsid w:val="00C464B4"/>
    <w:rsid w:val="00C4691B"/>
    <w:rsid w:val="00C46B8C"/>
    <w:rsid w:val="00C46E1D"/>
    <w:rsid w:val="00C46EE0"/>
    <w:rsid w:val="00C47217"/>
    <w:rsid w:val="00C475FA"/>
    <w:rsid w:val="00C4765F"/>
    <w:rsid w:val="00C476E6"/>
    <w:rsid w:val="00C47947"/>
    <w:rsid w:val="00C47CA1"/>
    <w:rsid w:val="00C500A8"/>
    <w:rsid w:val="00C5020D"/>
    <w:rsid w:val="00C50B2D"/>
    <w:rsid w:val="00C50EBD"/>
    <w:rsid w:val="00C5152F"/>
    <w:rsid w:val="00C51C4E"/>
    <w:rsid w:val="00C51D93"/>
    <w:rsid w:val="00C52293"/>
    <w:rsid w:val="00C52A6A"/>
    <w:rsid w:val="00C52D03"/>
    <w:rsid w:val="00C52D54"/>
    <w:rsid w:val="00C52FDC"/>
    <w:rsid w:val="00C533FE"/>
    <w:rsid w:val="00C535F1"/>
    <w:rsid w:val="00C53637"/>
    <w:rsid w:val="00C53B47"/>
    <w:rsid w:val="00C53CA0"/>
    <w:rsid w:val="00C5425C"/>
    <w:rsid w:val="00C54754"/>
    <w:rsid w:val="00C55C12"/>
    <w:rsid w:val="00C55EC9"/>
    <w:rsid w:val="00C56574"/>
    <w:rsid w:val="00C56F4C"/>
    <w:rsid w:val="00C56FBD"/>
    <w:rsid w:val="00C5721D"/>
    <w:rsid w:val="00C57248"/>
    <w:rsid w:val="00C57589"/>
    <w:rsid w:val="00C57624"/>
    <w:rsid w:val="00C57C47"/>
    <w:rsid w:val="00C57FFD"/>
    <w:rsid w:val="00C6038E"/>
    <w:rsid w:val="00C6046B"/>
    <w:rsid w:val="00C60A16"/>
    <w:rsid w:val="00C60A80"/>
    <w:rsid w:val="00C60D87"/>
    <w:rsid w:val="00C61381"/>
    <w:rsid w:val="00C6175C"/>
    <w:rsid w:val="00C61C00"/>
    <w:rsid w:val="00C61CFC"/>
    <w:rsid w:val="00C6215C"/>
    <w:rsid w:val="00C62922"/>
    <w:rsid w:val="00C63030"/>
    <w:rsid w:val="00C635AB"/>
    <w:rsid w:val="00C638D8"/>
    <w:rsid w:val="00C638F5"/>
    <w:rsid w:val="00C63AFA"/>
    <w:rsid w:val="00C63B1C"/>
    <w:rsid w:val="00C63E38"/>
    <w:rsid w:val="00C63EF6"/>
    <w:rsid w:val="00C642A1"/>
    <w:rsid w:val="00C6496A"/>
    <w:rsid w:val="00C64D93"/>
    <w:rsid w:val="00C64F16"/>
    <w:rsid w:val="00C65367"/>
    <w:rsid w:val="00C66102"/>
    <w:rsid w:val="00C66211"/>
    <w:rsid w:val="00C6634B"/>
    <w:rsid w:val="00C66B63"/>
    <w:rsid w:val="00C66D16"/>
    <w:rsid w:val="00C67178"/>
    <w:rsid w:val="00C67246"/>
    <w:rsid w:val="00C674D6"/>
    <w:rsid w:val="00C67CC3"/>
    <w:rsid w:val="00C70711"/>
    <w:rsid w:val="00C7075F"/>
    <w:rsid w:val="00C70AC0"/>
    <w:rsid w:val="00C71084"/>
    <w:rsid w:val="00C71256"/>
    <w:rsid w:val="00C7167F"/>
    <w:rsid w:val="00C719F4"/>
    <w:rsid w:val="00C71AD1"/>
    <w:rsid w:val="00C725C5"/>
    <w:rsid w:val="00C72606"/>
    <w:rsid w:val="00C7271B"/>
    <w:rsid w:val="00C72AB6"/>
    <w:rsid w:val="00C72B28"/>
    <w:rsid w:val="00C73242"/>
    <w:rsid w:val="00C73487"/>
    <w:rsid w:val="00C7375B"/>
    <w:rsid w:val="00C73A5F"/>
    <w:rsid w:val="00C73E5C"/>
    <w:rsid w:val="00C73F72"/>
    <w:rsid w:val="00C74018"/>
    <w:rsid w:val="00C7432A"/>
    <w:rsid w:val="00C7493B"/>
    <w:rsid w:val="00C75599"/>
    <w:rsid w:val="00C75DC5"/>
    <w:rsid w:val="00C765DD"/>
    <w:rsid w:val="00C76715"/>
    <w:rsid w:val="00C76A92"/>
    <w:rsid w:val="00C77103"/>
    <w:rsid w:val="00C77208"/>
    <w:rsid w:val="00C7756A"/>
    <w:rsid w:val="00C77620"/>
    <w:rsid w:val="00C7776E"/>
    <w:rsid w:val="00C77A3C"/>
    <w:rsid w:val="00C77E9C"/>
    <w:rsid w:val="00C77FA3"/>
    <w:rsid w:val="00C77FC1"/>
    <w:rsid w:val="00C8005A"/>
    <w:rsid w:val="00C803CD"/>
    <w:rsid w:val="00C808B1"/>
    <w:rsid w:val="00C80AA6"/>
    <w:rsid w:val="00C80B33"/>
    <w:rsid w:val="00C80BDF"/>
    <w:rsid w:val="00C80D4E"/>
    <w:rsid w:val="00C80E07"/>
    <w:rsid w:val="00C81096"/>
    <w:rsid w:val="00C81BEB"/>
    <w:rsid w:val="00C82038"/>
    <w:rsid w:val="00C82D88"/>
    <w:rsid w:val="00C830D0"/>
    <w:rsid w:val="00C8334F"/>
    <w:rsid w:val="00C83433"/>
    <w:rsid w:val="00C835BA"/>
    <w:rsid w:val="00C837B0"/>
    <w:rsid w:val="00C837E5"/>
    <w:rsid w:val="00C83A9C"/>
    <w:rsid w:val="00C83AA2"/>
    <w:rsid w:val="00C83E60"/>
    <w:rsid w:val="00C84777"/>
    <w:rsid w:val="00C85064"/>
    <w:rsid w:val="00C850DD"/>
    <w:rsid w:val="00C85B3F"/>
    <w:rsid w:val="00C85D65"/>
    <w:rsid w:val="00C865C4"/>
    <w:rsid w:val="00C8673B"/>
    <w:rsid w:val="00C869A9"/>
    <w:rsid w:val="00C8786B"/>
    <w:rsid w:val="00C87F07"/>
    <w:rsid w:val="00C907C5"/>
    <w:rsid w:val="00C90E81"/>
    <w:rsid w:val="00C90F72"/>
    <w:rsid w:val="00C9133F"/>
    <w:rsid w:val="00C9159C"/>
    <w:rsid w:val="00C916B1"/>
    <w:rsid w:val="00C91774"/>
    <w:rsid w:val="00C91B21"/>
    <w:rsid w:val="00C91C54"/>
    <w:rsid w:val="00C92007"/>
    <w:rsid w:val="00C9205B"/>
    <w:rsid w:val="00C92150"/>
    <w:rsid w:val="00C924B9"/>
    <w:rsid w:val="00C928B9"/>
    <w:rsid w:val="00C92982"/>
    <w:rsid w:val="00C92DF3"/>
    <w:rsid w:val="00C930E2"/>
    <w:rsid w:val="00C93101"/>
    <w:rsid w:val="00C93297"/>
    <w:rsid w:val="00C937ED"/>
    <w:rsid w:val="00C93AA0"/>
    <w:rsid w:val="00C93C5F"/>
    <w:rsid w:val="00C93DA0"/>
    <w:rsid w:val="00C943D6"/>
    <w:rsid w:val="00C9441C"/>
    <w:rsid w:val="00C944E2"/>
    <w:rsid w:val="00C94625"/>
    <w:rsid w:val="00C9469D"/>
    <w:rsid w:val="00C94850"/>
    <w:rsid w:val="00C9495D"/>
    <w:rsid w:val="00C95413"/>
    <w:rsid w:val="00C956DD"/>
    <w:rsid w:val="00C957C6"/>
    <w:rsid w:val="00C95872"/>
    <w:rsid w:val="00C9591D"/>
    <w:rsid w:val="00C960A4"/>
    <w:rsid w:val="00C96800"/>
    <w:rsid w:val="00C96844"/>
    <w:rsid w:val="00C96960"/>
    <w:rsid w:val="00C96AFF"/>
    <w:rsid w:val="00C96FA0"/>
    <w:rsid w:val="00C970B2"/>
    <w:rsid w:val="00C974B5"/>
    <w:rsid w:val="00C978F9"/>
    <w:rsid w:val="00C979FF"/>
    <w:rsid w:val="00CA00C3"/>
    <w:rsid w:val="00CA0381"/>
    <w:rsid w:val="00CA04A8"/>
    <w:rsid w:val="00CA0FF6"/>
    <w:rsid w:val="00CA17C5"/>
    <w:rsid w:val="00CA1A4A"/>
    <w:rsid w:val="00CA1A6D"/>
    <w:rsid w:val="00CA1E68"/>
    <w:rsid w:val="00CA21CF"/>
    <w:rsid w:val="00CA2616"/>
    <w:rsid w:val="00CA275A"/>
    <w:rsid w:val="00CA2DCE"/>
    <w:rsid w:val="00CA2E63"/>
    <w:rsid w:val="00CA2ECF"/>
    <w:rsid w:val="00CA30C7"/>
    <w:rsid w:val="00CA30EA"/>
    <w:rsid w:val="00CA339A"/>
    <w:rsid w:val="00CA3485"/>
    <w:rsid w:val="00CA3B44"/>
    <w:rsid w:val="00CA3D41"/>
    <w:rsid w:val="00CA3E94"/>
    <w:rsid w:val="00CA3EC4"/>
    <w:rsid w:val="00CA46A0"/>
    <w:rsid w:val="00CA4A3F"/>
    <w:rsid w:val="00CA4E7C"/>
    <w:rsid w:val="00CA4F0E"/>
    <w:rsid w:val="00CA5174"/>
    <w:rsid w:val="00CA552A"/>
    <w:rsid w:val="00CA596F"/>
    <w:rsid w:val="00CA5A7B"/>
    <w:rsid w:val="00CA5D45"/>
    <w:rsid w:val="00CA5FF2"/>
    <w:rsid w:val="00CA68D4"/>
    <w:rsid w:val="00CA7039"/>
    <w:rsid w:val="00CB011C"/>
    <w:rsid w:val="00CB026A"/>
    <w:rsid w:val="00CB05D6"/>
    <w:rsid w:val="00CB08B8"/>
    <w:rsid w:val="00CB1628"/>
    <w:rsid w:val="00CB164B"/>
    <w:rsid w:val="00CB18D8"/>
    <w:rsid w:val="00CB18EA"/>
    <w:rsid w:val="00CB1D41"/>
    <w:rsid w:val="00CB2277"/>
    <w:rsid w:val="00CB2378"/>
    <w:rsid w:val="00CB2625"/>
    <w:rsid w:val="00CB2C93"/>
    <w:rsid w:val="00CB38A4"/>
    <w:rsid w:val="00CB3A9A"/>
    <w:rsid w:val="00CB3CC1"/>
    <w:rsid w:val="00CB4933"/>
    <w:rsid w:val="00CB4BA6"/>
    <w:rsid w:val="00CB4DAB"/>
    <w:rsid w:val="00CB5570"/>
    <w:rsid w:val="00CB55CA"/>
    <w:rsid w:val="00CB57A5"/>
    <w:rsid w:val="00CB5C90"/>
    <w:rsid w:val="00CB62E7"/>
    <w:rsid w:val="00CB64AA"/>
    <w:rsid w:val="00CB67DD"/>
    <w:rsid w:val="00CB6C3D"/>
    <w:rsid w:val="00CB6F36"/>
    <w:rsid w:val="00CB6F62"/>
    <w:rsid w:val="00CB73F4"/>
    <w:rsid w:val="00CB7F10"/>
    <w:rsid w:val="00CB7F8F"/>
    <w:rsid w:val="00CC0266"/>
    <w:rsid w:val="00CC04D5"/>
    <w:rsid w:val="00CC0ABE"/>
    <w:rsid w:val="00CC1221"/>
    <w:rsid w:val="00CC134B"/>
    <w:rsid w:val="00CC1477"/>
    <w:rsid w:val="00CC14BA"/>
    <w:rsid w:val="00CC1658"/>
    <w:rsid w:val="00CC17FA"/>
    <w:rsid w:val="00CC192A"/>
    <w:rsid w:val="00CC196B"/>
    <w:rsid w:val="00CC2086"/>
    <w:rsid w:val="00CC20A4"/>
    <w:rsid w:val="00CC23B8"/>
    <w:rsid w:val="00CC24C6"/>
    <w:rsid w:val="00CC2A36"/>
    <w:rsid w:val="00CC2B0F"/>
    <w:rsid w:val="00CC3032"/>
    <w:rsid w:val="00CC3A9D"/>
    <w:rsid w:val="00CC4142"/>
    <w:rsid w:val="00CC417F"/>
    <w:rsid w:val="00CC46AD"/>
    <w:rsid w:val="00CC4ADF"/>
    <w:rsid w:val="00CC4D8F"/>
    <w:rsid w:val="00CC4DBF"/>
    <w:rsid w:val="00CC5105"/>
    <w:rsid w:val="00CC54BF"/>
    <w:rsid w:val="00CC58A1"/>
    <w:rsid w:val="00CC6023"/>
    <w:rsid w:val="00CC69E2"/>
    <w:rsid w:val="00CC6A3A"/>
    <w:rsid w:val="00CC6A8E"/>
    <w:rsid w:val="00CC6D5C"/>
    <w:rsid w:val="00CC6D71"/>
    <w:rsid w:val="00CC6DA2"/>
    <w:rsid w:val="00CC7302"/>
    <w:rsid w:val="00CC7D1D"/>
    <w:rsid w:val="00CC7D8F"/>
    <w:rsid w:val="00CD015E"/>
    <w:rsid w:val="00CD05D1"/>
    <w:rsid w:val="00CD0771"/>
    <w:rsid w:val="00CD0B05"/>
    <w:rsid w:val="00CD0EA9"/>
    <w:rsid w:val="00CD193A"/>
    <w:rsid w:val="00CD1C76"/>
    <w:rsid w:val="00CD21DD"/>
    <w:rsid w:val="00CD26A9"/>
    <w:rsid w:val="00CD278B"/>
    <w:rsid w:val="00CD2868"/>
    <w:rsid w:val="00CD28FB"/>
    <w:rsid w:val="00CD29D7"/>
    <w:rsid w:val="00CD2CD2"/>
    <w:rsid w:val="00CD3491"/>
    <w:rsid w:val="00CD3505"/>
    <w:rsid w:val="00CD35A6"/>
    <w:rsid w:val="00CD3D27"/>
    <w:rsid w:val="00CD3E38"/>
    <w:rsid w:val="00CD40F8"/>
    <w:rsid w:val="00CD414E"/>
    <w:rsid w:val="00CD46F1"/>
    <w:rsid w:val="00CD4CB2"/>
    <w:rsid w:val="00CD4F62"/>
    <w:rsid w:val="00CD4FE5"/>
    <w:rsid w:val="00CD5257"/>
    <w:rsid w:val="00CD54FB"/>
    <w:rsid w:val="00CD5571"/>
    <w:rsid w:val="00CD55D6"/>
    <w:rsid w:val="00CD5846"/>
    <w:rsid w:val="00CD58E3"/>
    <w:rsid w:val="00CD5AEC"/>
    <w:rsid w:val="00CD5C69"/>
    <w:rsid w:val="00CD6639"/>
    <w:rsid w:val="00CD682C"/>
    <w:rsid w:val="00CD6ABE"/>
    <w:rsid w:val="00CD6E1B"/>
    <w:rsid w:val="00CD6F0F"/>
    <w:rsid w:val="00CD6F97"/>
    <w:rsid w:val="00CD7346"/>
    <w:rsid w:val="00CD7752"/>
    <w:rsid w:val="00CD79AA"/>
    <w:rsid w:val="00CD7A2C"/>
    <w:rsid w:val="00CD7ED0"/>
    <w:rsid w:val="00CE023E"/>
    <w:rsid w:val="00CE0383"/>
    <w:rsid w:val="00CE039E"/>
    <w:rsid w:val="00CE0459"/>
    <w:rsid w:val="00CE265E"/>
    <w:rsid w:val="00CE334D"/>
    <w:rsid w:val="00CE37E8"/>
    <w:rsid w:val="00CE3885"/>
    <w:rsid w:val="00CE3CD2"/>
    <w:rsid w:val="00CE3DFB"/>
    <w:rsid w:val="00CE40F9"/>
    <w:rsid w:val="00CE41F1"/>
    <w:rsid w:val="00CE443F"/>
    <w:rsid w:val="00CE50BF"/>
    <w:rsid w:val="00CE5DB9"/>
    <w:rsid w:val="00CE629C"/>
    <w:rsid w:val="00CE68B7"/>
    <w:rsid w:val="00CE70A9"/>
    <w:rsid w:val="00CE7385"/>
    <w:rsid w:val="00CE780C"/>
    <w:rsid w:val="00CF062A"/>
    <w:rsid w:val="00CF076F"/>
    <w:rsid w:val="00CF08EF"/>
    <w:rsid w:val="00CF0FEA"/>
    <w:rsid w:val="00CF1BA4"/>
    <w:rsid w:val="00CF1C9D"/>
    <w:rsid w:val="00CF1FED"/>
    <w:rsid w:val="00CF2E98"/>
    <w:rsid w:val="00CF2F18"/>
    <w:rsid w:val="00CF30A8"/>
    <w:rsid w:val="00CF32F4"/>
    <w:rsid w:val="00CF3399"/>
    <w:rsid w:val="00CF33E2"/>
    <w:rsid w:val="00CF36A6"/>
    <w:rsid w:val="00CF3AC3"/>
    <w:rsid w:val="00CF3F05"/>
    <w:rsid w:val="00CF3FA2"/>
    <w:rsid w:val="00CF422B"/>
    <w:rsid w:val="00CF4760"/>
    <w:rsid w:val="00CF49BD"/>
    <w:rsid w:val="00CF4A74"/>
    <w:rsid w:val="00CF4D1B"/>
    <w:rsid w:val="00CF53D9"/>
    <w:rsid w:val="00CF572C"/>
    <w:rsid w:val="00CF59EA"/>
    <w:rsid w:val="00CF5CA3"/>
    <w:rsid w:val="00CF5DB7"/>
    <w:rsid w:val="00CF625C"/>
    <w:rsid w:val="00CF64DA"/>
    <w:rsid w:val="00CF6504"/>
    <w:rsid w:val="00CF6602"/>
    <w:rsid w:val="00CF6BAC"/>
    <w:rsid w:val="00CF7034"/>
    <w:rsid w:val="00CF7314"/>
    <w:rsid w:val="00CF799E"/>
    <w:rsid w:val="00CF7A60"/>
    <w:rsid w:val="00CF7BE4"/>
    <w:rsid w:val="00D01388"/>
    <w:rsid w:val="00D01544"/>
    <w:rsid w:val="00D016B1"/>
    <w:rsid w:val="00D01859"/>
    <w:rsid w:val="00D022FF"/>
    <w:rsid w:val="00D02736"/>
    <w:rsid w:val="00D0321E"/>
    <w:rsid w:val="00D0355C"/>
    <w:rsid w:val="00D03801"/>
    <w:rsid w:val="00D0399E"/>
    <w:rsid w:val="00D03ABD"/>
    <w:rsid w:val="00D03E6D"/>
    <w:rsid w:val="00D03F88"/>
    <w:rsid w:val="00D04562"/>
    <w:rsid w:val="00D04870"/>
    <w:rsid w:val="00D0499E"/>
    <w:rsid w:val="00D04DFB"/>
    <w:rsid w:val="00D051F3"/>
    <w:rsid w:val="00D05968"/>
    <w:rsid w:val="00D05B6D"/>
    <w:rsid w:val="00D06436"/>
    <w:rsid w:val="00D06922"/>
    <w:rsid w:val="00D06AC2"/>
    <w:rsid w:val="00D06F1F"/>
    <w:rsid w:val="00D07250"/>
    <w:rsid w:val="00D07BFE"/>
    <w:rsid w:val="00D07C68"/>
    <w:rsid w:val="00D07CFB"/>
    <w:rsid w:val="00D07E9A"/>
    <w:rsid w:val="00D101E2"/>
    <w:rsid w:val="00D1021F"/>
    <w:rsid w:val="00D10298"/>
    <w:rsid w:val="00D102AA"/>
    <w:rsid w:val="00D10609"/>
    <w:rsid w:val="00D10731"/>
    <w:rsid w:val="00D10A66"/>
    <w:rsid w:val="00D1168D"/>
    <w:rsid w:val="00D11788"/>
    <w:rsid w:val="00D1197F"/>
    <w:rsid w:val="00D11CC8"/>
    <w:rsid w:val="00D11D0C"/>
    <w:rsid w:val="00D11D98"/>
    <w:rsid w:val="00D12059"/>
    <w:rsid w:val="00D122E3"/>
    <w:rsid w:val="00D12350"/>
    <w:rsid w:val="00D12679"/>
    <w:rsid w:val="00D127E7"/>
    <w:rsid w:val="00D12873"/>
    <w:rsid w:val="00D12C56"/>
    <w:rsid w:val="00D132D8"/>
    <w:rsid w:val="00D135DB"/>
    <w:rsid w:val="00D13B28"/>
    <w:rsid w:val="00D13BA9"/>
    <w:rsid w:val="00D1405F"/>
    <w:rsid w:val="00D1458C"/>
    <w:rsid w:val="00D1501B"/>
    <w:rsid w:val="00D1520B"/>
    <w:rsid w:val="00D154D3"/>
    <w:rsid w:val="00D1562B"/>
    <w:rsid w:val="00D15BA0"/>
    <w:rsid w:val="00D16590"/>
    <w:rsid w:val="00D16735"/>
    <w:rsid w:val="00D17224"/>
    <w:rsid w:val="00D17264"/>
    <w:rsid w:val="00D176B0"/>
    <w:rsid w:val="00D1789D"/>
    <w:rsid w:val="00D17CF6"/>
    <w:rsid w:val="00D20533"/>
    <w:rsid w:val="00D20619"/>
    <w:rsid w:val="00D20C27"/>
    <w:rsid w:val="00D211AC"/>
    <w:rsid w:val="00D213D6"/>
    <w:rsid w:val="00D214AE"/>
    <w:rsid w:val="00D22F00"/>
    <w:rsid w:val="00D231FE"/>
    <w:rsid w:val="00D23690"/>
    <w:rsid w:val="00D23A01"/>
    <w:rsid w:val="00D23D54"/>
    <w:rsid w:val="00D24307"/>
    <w:rsid w:val="00D2435A"/>
    <w:rsid w:val="00D24921"/>
    <w:rsid w:val="00D24963"/>
    <w:rsid w:val="00D2502B"/>
    <w:rsid w:val="00D25197"/>
    <w:rsid w:val="00D256B5"/>
    <w:rsid w:val="00D25AE3"/>
    <w:rsid w:val="00D25D02"/>
    <w:rsid w:val="00D26280"/>
    <w:rsid w:val="00D266EE"/>
    <w:rsid w:val="00D26B43"/>
    <w:rsid w:val="00D27906"/>
    <w:rsid w:val="00D27E6D"/>
    <w:rsid w:val="00D305F6"/>
    <w:rsid w:val="00D308E3"/>
    <w:rsid w:val="00D31007"/>
    <w:rsid w:val="00D3122D"/>
    <w:rsid w:val="00D31367"/>
    <w:rsid w:val="00D3143E"/>
    <w:rsid w:val="00D3145D"/>
    <w:rsid w:val="00D317A4"/>
    <w:rsid w:val="00D31829"/>
    <w:rsid w:val="00D31864"/>
    <w:rsid w:val="00D3204D"/>
    <w:rsid w:val="00D326A2"/>
    <w:rsid w:val="00D327B2"/>
    <w:rsid w:val="00D32A2B"/>
    <w:rsid w:val="00D32A97"/>
    <w:rsid w:val="00D32BCC"/>
    <w:rsid w:val="00D32C69"/>
    <w:rsid w:val="00D32DA3"/>
    <w:rsid w:val="00D336A0"/>
    <w:rsid w:val="00D3370A"/>
    <w:rsid w:val="00D33D2E"/>
    <w:rsid w:val="00D343B7"/>
    <w:rsid w:val="00D348D1"/>
    <w:rsid w:val="00D34A2E"/>
    <w:rsid w:val="00D34B87"/>
    <w:rsid w:val="00D34D15"/>
    <w:rsid w:val="00D35132"/>
    <w:rsid w:val="00D35A7D"/>
    <w:rsid w:val="00D35C3A"/>
    <w:rsid w:val="00D35C49"/>
    <w:rsid w:val="00D35FD6"/>
    <w:rsid w:val="00D362B7"/>
    <w:rsid w:val="00D3670F"/>
    <w:rsid w:val="00D37182"/>
    <w:rsid w:val="00D37454"/>
    <w:rsid w:val="00D377D8"/>
    <w:rsid w:val="00D378CC"/>
    <w:rsid w:val="00D3794B"/>
    <w:rsid w:val="00D379F7"/>
    <w:rsid w:val="00D4027D"/>
    <w:rsid w:val="00D40338"/>
    <w:rsid w:val="00D408FD"/>
    <w:rsid w:val="00D40FC3"/>
    <w:rsid w:val="00D415D0"/>
    <w:rsid w:val="00D417CE"/>
    <w:rsid w:val="00D41C4D"/>
    <w:rsid w:val="00D41CA8"/>
    <w:rsid w:val="00D42274"/>
    <w:rsid w:val="00D42458"/>
    <w:rsid w:val="00D42798"/>
    <w:rsid w:val="00D427A5"/>
    <w:rsid w:val="00D429B0"/>
    <w:rsid w:val="00D429BA"/>
    <w:rsid w:val="00D42E73"/>
    <w:rsid w:val="00D43014"/>
    <w:rsid w:val="00D432CD"/>
    <w:rsid w:val="00D43497"/>
    <w:rsid w:val="00D43E0C"/>
    <w:rsid w:val="00D44026"/>
    <w:rsid w:val="00D4430E"/>
    <w:rsid w:val="00D445A1"/>
    <w:rsid w:val="00D44627"/>
    <w:rsid w:val="00D44DD6"/>
    <w:rsid w:val="00D4552E"/>
    <w:rsid w:val="00D4577E"/>
    <w:rsid w:val="00D45802"/>
    <w:rsid w:val="00D45F34"/>
    <w:rsid w:val="00D4629C"/>
    <w:rsid w:val="00D467BD"/>
    <w:rsid w:val="00D467E0"/>
    <w:rsid w:val="00D46AA5"/>
    <w:rsid w:val="00D46AD3"/>
    <w:rsid w:val="00D46E5E"/>
    <w:rsid w:val="00D479EF"/>
    <w:rsid w:val="00D47A9E"/>
    <w:rsid w:val="00D47C0A"/>
    <w:rsid w:val="00D47CBF"/>
    <w:rsid w:val="00D50146"/>
    <w:rsid w:val="00D50A74"/>
    <w:rsid w:val="00D50A92"/>
    <w:rsid w:val="00D50E1C"/>
    <w:rsid w:val="00D512F7"/>
    <w:rsid w:val="00D51472"/>
    <w:rsid w:val="00D514F1"/>
    <w:rsid w:val="00D515C1"/>
    <w:rsid w:val="00D5176F"/>
    <w:rsid w:val="00D524E3"/>
    <w:rsid w:val="00D53580"/>
    <w:rsid w:val="00D5387A"/>
    <w:rsid w:val="00D53B5F"/>
    <w:rsid w:val="00D53BA4"/>
    <w:rsid w:val="00D54B48"/>
    <w:rsid w:val="00D550FB"/>
    <w:rsid w:val="00D554CE"/>
    <w:rsid w:val="00D55A90"/>
    <w:rsid w:val="00D55E34"/>
    <w:rsid w:val="00D564D6"/>
    <w:rsid w:val="00D56BCC"/>
    <w:rsid w:val="00D56CBA"/>
    <w:rsid w:val="00D57188"/>
    <w:rsid w:val="00D57900"/>
    <w:rsid w:val="00D57A1A"/>
    <w:rsid w:val="00D6009E"/>
    <w:rsid w:val="00D600E9"/>
    <w:rsid w:val="00D60960"/>
    <w:rsid w:val="00D60B58"/>
    <w:rsid w:val="00D60E2C"/>
    <w:rsid w:val="00D60E92"/>
    <w:rsid w:val="00D60EC1"/>
    <w:rsid w:val="00D60F05"/>
    <w:rsid w:val="00D61209"/>
    <w:rsid w:val="00D6172E"/>
    <w:rsid w:val="00D61798"/>
    <w:rsid w:val="00D618A9"/>
    <w:rsid w:val="00D61AAE"/>
    <w:rsid w:val="00D61CC3"/>
    <w:rsid w:val="00D61ECC"/>
    <w:rsid w:val="00D62543"/>
    <w:rsid w:val="00D62774"/>
    <w:rsid w:val="00D62A40"/>
    <w:rsid w:val="00D62AE3"/>
    <w:rsid w:val="00D62B1C"/>
    <w:rsid w:val="00D62C2B"/>
    <w:rsid w:val="00D62C3C"/>
    <w:rsid w:val="00D62DA7"/>
    <w:rsid w:val="00D6304A"/>
    <w:rsid w:val="00D631FC"/>
    <w:rsid w:val="00D633D5"/>
    <w:rsid w:val="00D634F1"/>
    <w:rsid w:val="00D636A9"/>
    <w:rsid w:val="00D63DB1"/>
    <w:rsid w:val="00D64367"/>
    <w:rsid w:val="00D64797"/>
    <w:rsid w:val="00D647E0"/>
    <w:rsid w:val="00D6480A"/>
    <w:rsid w:val="00D64B92"/>
    <w:rsid w:val="00D650A2"/>
    <w:rsid w:val="00D6558B"/>
    <w:rsid w:val="00D65ADE"/>
    <w:rsid w:val="00D65BBF"/>
    <w:rsid w:val="00D65F75"/>
    <w:rsid w:val="00D662ED"/>
    <w:rsid w:val="00D66B43"/>
    <w:rsid w:val="00D66B48"/>
    <w:rsid w:val="00D66BC9"/>
    <w:rsid w:val="00D66E95"/>
    <w:rsid w:val="00D673D1"/>
    <w:rsid w:val="00D676A3"/>
    <w:rsid w:val="00D679BC"/>
    <w:rsid w:val="00D67F8F"/>
    <w:rsid w:val="00D7006E"/>
    <w:rsid w:val="00D70189"/>
    <w:rsid w:val="00D70810"/>
    <w:rsid w:val="00D70E05"/>
    <w:rsid w:val="00D7123E"/>
    <w:rsid w:val="00D7170C"/>
    <w:rsid w:val="00D71AD8"/>
    <w:rsid w:val="00D71C4A"/>
    <w:rsid w:val="00D71D4A"/>
    <w:rsid w:val="00D71ECF"/>
    <w:rsid w:val="00D722A3"/>
    <w:rsid w:val="00D72689"/>
    <w:rsid w:val="00D7295B"/>
    <w:rsid w:val="00D72D20"/>
    <w:rsid w:val="00D7370A"/>
    <w:rsid w:val="00D73886"/>
    <w:rsid w:val="00D739CF"/>
    <w:rsid w:val="00D73C27"/>
    <w:rsid w:val="00D73E1A"/>
    <w:rsid w:val="00D7436E"/>
    <w:rsid w:val="00D74582"/>
    <w:rsid w:val="00D74A37"/>
    <w:rsid w:val="00D75326"/>
    <w:rsid w:val="00D75541"/>
    <w:rsid w:val="00D761E0"/>
    <w:rsid w:val="00D761E1"/>
    <w:rsid w:val="00D762B8"/>
    <w:rsid w:val="00D767C4"/>
    <w:rsid w:val="00D76A82"/>
    <w:rsid w:val="00D76EC6"/>
    <w:rsid w:val="00D777B3"/>
    <w:rsid w:val="00D778E8"/>
    <w:rsid w:val="00D80912"/>
    <w:rsid w:val="00D80D9B"/>
    <w:rsid w:val="00D819D8"/>
    <w:rsid w:val="00D82028"/>
    <w:rsid w:val="00D8235D"/>
    <w:rsid w:val="00D82761"/>
    <w:rsid w:val="00D82783"/>
    <w:rsid w:val="00D82CAF"/>
    <w:rsid w:val="00D82FB2"/>
    <w:rsid w:val="00D83232"/>
    <w:rsid w:val="00D838CB"/>
    <w:rsid w:val="00D83D0C"/>
    <w:rsid w:val="00D83D8F"/>
    <w:rsid w:val="00D83E4F"/>
    <w:rsid w:val="00D84157"/>
    <w:rsid w:val="00D84177"/>
    <w:rsid w:val="00D841EB"/>
    <w:rsid w:val="00D84757"/>
    <w:rsid w:val="00D84D3D"/>
    <w:rsid w:val="00D84E78"/>
    <w:rsid w:val="00D84E96"/>
    <w:rsid w:val="00D84F98"/>
    <w:rsid w:val="00D857AB"/>
    <w:rsid w:val="00D857FA"/>
    <w:rsid w:val="00D85884"/>
    <w:rsid w:val="00D85D7E"/>
    <w:rsid w:val="00D85E68"/>
    <w:rsid w:val="00D86155"/>
    <w:rsid w:val="00D864C8"/>
    <w:rsid w:val="00D86763"/>
    <w:rsid w:val="00D86969"/>
    <w:rsid w:val="00D873F4"/>
    <w:rsid w:val="00D8746D"/>
    <w:rsid w:val="00D8772D"/>
    <w:rsid w:val="00D87A23"/>
    <w:rsid w:val="00D903A4"/>
    <w:rsid w:val="00D9229F"/>
    <w:rsid w:val="00D929FB"/>
    <w:rsid w:val="00D92ADF"/>
    <w:rsid w:val="00D92BD3"/>
    <w:rsid w:val="00D92F8E"/>
    <w:rsid w:val="00D93295"/>
    <w:rsid w:val="00D93441"/>
    <w:rsid w:val="00D938FE"/>
    <w:rsid w:val="00D93B1F"/>
    <w:rsid w:val="00D943D6"/>
    <w:rsid w:val="00D94418"/>
    <w:rsid w:val="00D947BA"/>
    <w:rsid w:val="00D94F35"/>
    <w:rsid w:val="00D9549D"/>
    <w:rsid w:val="00D95610"/>
    <w:rsid w:val="00D95815"/>
    <w:rsid w:val="00D95A0A"/>
    <w:rsid w:val="00D961EE"/>
    <w:rsid w:val="00D964D7"/>
    <w:rsid w:val="00D96AFC"/>
    <w:rsid w:val="00D96CA5"/>
    <w:rsid w:val="00D9716C"/>
    <w:rsid w:val="00D973AA"/>
    <w:rsid w:val="00D9766C"/>
    <w:rsid w:val="00D97AB2"/>
    <w:rsid w:val="00DA001A"/>
    <w:rsid w:val="00DA01D2"/>
    <w:rsid w:val="00DA05DE"/>
    <w:rsid w:val="00DA0D1E"/>
    <w:rsid w:val="00DA10CC"/>
    <w:rsid w:val="00DA177A"/>
    <w:rsid w:val="00DA1ED2"/>
    <w:rsid w:val="00DA2207"/>
    <w:rsid w:val="00DA29E8"/>
    <w:rsid w:val="00DA2BB8"/>
    <w:rsid w:val="00DA3470"/>
    <w:rsid w:val="00DA3D84"/>
    <w:rsid w:val="00DA40F7"/>
    <w:rsid w:val="00DA4104"/>
    <w:rsid w:val="00DA42DF"/>
    <w:rsid w:val="00DA4589"/>
    <w:rsid w:val="00DA49D1"/>
    <w:rsid w:val="00DA4A5C"/>
    <w:rsid w:val="00DA51AB"/>
    <w:rsid w:val="00DA59A2"/>
    <w:rsid w:val="00DA5A10"/>
    <w:rsid w:val="00DA67F7"/>
    <w:rsid w:val="00DA68B6"/>
    <w:rsid w:val="00DA68F4"/>
    <w:rsid w:val="00DA6D9B"/>
    <w:rsid w:val="00DA7207"/>
    <w:rsid w:val="00DA753D"/>
    <w:rsid w:val="00DA76B2"/>
    <w:rsid w:val="00DA7926"/>
    <w:rsid w:val="00DA7BB8"/>
    <w:rsid w:val="00DB06A2"/>
    <w:rsid w:val="00DB0A0F"/>
    <w:rsid w:val="00DB0BF8"/>
    <w:rsid w:val="00DB18C5"/>
    <w:rsid w:val="00DB1A65"/>
    <w:rsid w:val="00DB1C8E"/>
    <w:rsid w:val="00DB1E66"/>
    <w:rsid w:val="00DB226D"/>
    <w:rsid w:val="00DB2332"/>
    <w:rsid w:val="00DB251A"/>
    <w:rsid w:val="00DB2655"/>
    <w:rsid w:val="00DB28B5"/>
    <w:rsid w:val="00DB3292"/>
    <w:rsid w:val="00DB334A"/>
    <w:rsid w:val="00DB3414"/>
    <w:rsid w:val="00DB3718"/>
    <w:rsid w:val="00DB3B9B"/>
    <w:rsid w:val="00DB3DF3"/>
    <w:rsid w:val="00DB4A46"/>
    <w:rsid w:val="00DB5240"/>
    <w:rsid w:val="00DB53DC"/>
    <w:rsid w:val="00DB55BB"/>
    <w:rsid w:val="00DB55BE"/>
    <w:rsid w:val="00DB569F"/>
    <w:rsid w:val="00DB5BDB"/>
    <w:rsid w:val="00DB5D51"/>
    <w:rsid w:val="00DB5E88"/>
    <w:rsid w:val="00DB5FEE"/>
    <w:rsid w:val="00DB62BF"/>
    <w:rsid w:val="00DB6559"/>
    <w:rsid w:val="00DB68A6"/>
    <w:rsid w:val="00DB6D57"/>
    <w:rsid w:val="00DB7041"/>
    <w:rsid w:val="00DB70A3"/>
    <w:rsid w:val="00DB7171"/>
    <w:rsid w:val="00DB7784"/>
    <w:rsid w:val="00DB77E1"/>
    <w:rsid w:val="00DB7D43"/>
    <w:rsid w:val="00DC0339"/>
    <w:rsid w:val="00DC1DCA"/>
    <w:rsid w:val="00DC1F7B"/>
    <w:rsid w:val="00DC273E"/>
    <w:rsid w:val="00DC30ED"/>
    <w:rsid w:val="00DC33D0"/>
    <w:rsid w:val="00DC37F1"/>
    <w:rsid w:val="00DC3856"/>
    <w:rsid w:val="00DC3A08"/>
    <w:rsid w:val="00DC3DAC"/>
    <w:rsid w:val="00DC46F4"/>
    <w:rsid w:val="00DC4822"/>
    <w:rsid w:val="00DC49B2"/>
    <w:rsid w:val="00DC4C7A"/>
    <w:rsid w:val="00DC4FD5"/>
    <w:rsid w:val="00DC53C1"/>
    <w:rsid w:val="00DC5983"/>
    <w:rsid w:val="00DC62B8"/>
    <w:rsid w:val="00DC6B3E"/>
    <w:rsid w:val="00DC719E"/>
    <w:rsid w:val="00DC7227"/>
    <w:rsid w:val="00DC725F"/>
    <w:rsid w:val="00DC7757"/>
    <w:rsid w:val="00DD0925"/>
    <w:rsid w:val="00DD1118"/>
    <w:rsid w:val="00DD1830"/>
    <w:rsid w:val="00DD1CA4"/>
    <w:rsid w:val="00DD1CB4"/>
    <w:rsid w:val="00DD290D"/>
    <w:rsid w:val="00DD2AAB"/>
    <w:rsid w:val="00DD2D95"/>
    <w:rsid w:val="00DD2FF0"/>
    <w:rsid w:val="00DD333E"/>
    <w:rsid w:val="00DD38A4"/>
    <w:rsid w:val="00DD391A"/>
    <w:rsid w:val="00DD40A1"/>
    <w:rsid w:val="00DD43B9"/>
    <w:rsid w:val="00DD4A96"/>
    <w:rsid w:val="00DD4ACC"/>
    <w:rsid w:val="00DD4C57"/>
    <w:rsid w:val="00DD4E04"/>
    <w:rsid w:val="00DD4FA6"/>
    <w:rsid w:val="00DD53CC"/>
    <w:rsid w:val="00DD5414"/>
    <w:rsid w:val="00DD5681"/>
    <w:rsid w:val="00DD5D0B"/>
    <w:rsid w:val="00DD6004"/>
    <w:rsid w:val="00DD6268"/>
    <w:rsid w:val="00DD645C"/>
    <w:rsid w:val="00DD65B9"/>
    <w:rsid w:val="00DD760B"/>
    <w:rsid w:val="00DD7DB9"/>
    <w:rsid w:val="00DD7DE6"/>
    <w:rsid w:val="00DE012A"/>
    <w:rsid w:val="00DE0B36"/>
    <w:rsid w:val="00DE0C9C"/>
    <w:rsid w:val="00DE0F54"/>
    <w:rsid w:val="00DE1729"/>
    <w:rsid w:val="00DE2D68"/>
    <w:rsid w:val="00DE2F0C"/>
    <w:rsid w:val="00DE2F68"/>
    <w:rsid w:val="00DE355F"/>
    <w:rsid w:val="00DE3C9C"/>
    <w:rsid w:val="00DE3DE9"/>
    <w:rsid w:val="00DE40E3"/>
    <w:rsid w:val="00DE435E"/>
    <w:rsid w:val="00DE464C"/>
    <w:rsid w:val="00DE4E90"/>
    <w:rsid w:val="00DE5022"/>
    <w:rsid w:val="00DE524B"/>
    <w:rsid w:val="00DE54F8"/>
    <w:rsid w:val="00DE5753"/>
    <w:rsid w:val="00DE60DF"/>
    <w:rsid w:val="00DE6185"/>
    <w:rsid w:val="00DE6272"/>
    <w:rsid w:val="00DE6C24"/>
    <w:rsid w:val="00DE6F54"/>
    <w:rsid w:val="00DE71B3"/>
    <w:rsid w:val="00DE73C4"/>
    <w:rsid w:val="00DE7551"/>
    <w:rsid w:val="00DE77A2"/>
    <w:rsid w:val="00DE7ED9"/>
    <w:rsid w:val="00DF0144"/>
    <w:rsid w:val="00DF045A"/>
    <w:rsid w:val="00DF0493"/>
    <w:rsid w:val="00DF06A8"/>
    <w:rsid w:val="00DF07F8"/>
    <w:rsid w:val="00DF0FEC"/>
    <w:rsid w:val="00DF1222"/>
    <w:rsid w:val="00DF1641"/>
    <w:rsid w:val="00DF1AB7"/>
    <w:rsid w:val="00DF1BD3"/>
    <w:rsid w:val="00DF220D"/>
    <w:rsid w:val="00DF2796"/>
    <w:rsid w:val="00DF32A6"/>
    <w:rsid w:val="00DF3E28"/>
    <w:rsid w:val="00DF433B"/>
    <w:rsid w:val="00DF439D"/>
    <w:rsid w:val="00DF4516"/>
    <w:rsid w:val="00DF47B1"/>
    <w:rsid w:val="00DF4A61"/>
    <w:rsid w:val="00DF4A65"/>
    <w:rsid w:val="00DF4B95"/>
    <w:rsid w:val="00DF4D30"/>
    <w:rsid w:val="00DF4FD5"/>
    <w:rsid w:val="00DF5446"/>
    <w:rsid w:val="00DF549C"/>
    <w:rsid w:val="00DF572C"/>
    <w:rsid w:val="00DF598E"/>
    <w:rsid w:val="00DF602D"/>
    <w:rsid w:val="00DF650D"/>
    <w:rsid w:val="00DF6512"/>
    <w:rsid w:val="00DF71B8"/>
    <w:rsid w:val="00DF7C40"/>
    <w:rsid w:val="00E00427"/>
    <w:rsid w:val="00E0082A"/>
    <w:rsid w:val="00E009DD"/>
    <w:rsid w:val="00E00F0E"/>
    <w:rsid w:val="00E01161"/>
    <w:rsid w:val="00E0122E"/>
    <w:rsid w:val="00E017D9"/>
    <w:rsid w:val="00E018C4"/>
    <w:rsid w:val="00E01904"/>
    <w:rsid w:val="00E01DC7"/>
    <w:rsid w:val="00E01F0F"/>
    <w:rsid w:val="00E02F78"/>
    <w:rsid w:val="00E02FAC"/>
    <w:rsid w:val="00E03204"/>
    <w:rsid w:val="00E0396D"/>
    <w:rsid w:val="00E03976"/>
    <w:rsid w:val="00E03B95"/>
    <w:rsid w:val="00E03C43"/>
    <w:rsid w:val="00E03C7D"/>
    <w:rsid w:val="00E03CD7"/>
    <w:rsid w:val="00E041C9"/>
    <w:rsid w:val="00E044D5"/>
    <w:rsid w:val="00E04B7D"/>
    <w:rsid w:val="00E05074"/>
    <w:rsid w:val="00E0522D"/>
    <w:rsid w:val="00E05530"/>
    <w:rsid w:val="00E058BB"/>
    <w:rsid w:val="00E059D4"/>
    <w:rsid w:val="00E05D76"/>
    <w:rsid w:val="00E060BC"/>
    <w:rsid w:val="00E0648B"/>
    <w:rsid w:val="00E06624"/>
    <w:rsid w:val="00E0668B"/>
    <w:rsid w:val="00E067FC"/>
    <w:rsid w:val="00E068AC"/>
    <w:rsid w:val="00E06B26"/>
    <w:rsid w:val="00E06E7C"/>
    <w:rsid w:val="00E078E4"/>
    <w:rsid w:val="00E0790A"/>
    <w:rsid w:val="00E10C5D"/>
    <w:rsid w:val="00E11956"/>
    <w:rsid w:val="00E11B8D"/>
    <w:rsid w:val="00E11CB4"/>
    <w:rsid w:val="00E11E70"/>
    <w:rsid w:val="00E12040"/>
    <w:rsid w:val="00E12812"/>
    <w:rsid w:val="00E13031"/>
    <w:rsid w:val="00E1352B"/>
    <w:rsid w:val="00E13562"/>
    <w:rsid w:val="00E1396E"/>
    <w:rsid w:val="00E14004"/>
    <w:rsid w:val="00E1452C"/>
    <w:rsid w:val="00E14672"/>
    <w:rsid w:val="00E14B33"/>
    <w:rsid w:val="00E14CD9"/>
    <w:rsid w:val="00E15118"/>
    <w:rsid w:val="00E1511F"/>
    <w:rsid w:val="00E15845"/>
    <w:rsid w:val="00E15C2B"/>
    <w:rsid w:val="00E15F3C"/>
    <w:rsid w:val="00E164FF"/>
    <w:rsid w:val="00E1680E"/>
    <w:rsid w:val="00E16B2D"/>
    <w:rsid w:val="00E16E06"/>
    <w:rsid w:val="00E17391"/>
    <w:rsid w:val="00E17459"/>
    <w:rsid w:val="00E174DF"/>
    <w:rsid w:val="00E175BE"/>
    <w:rsid w:val="00E1788A"/>
    <w:rsid w:val="00E20054"/>
    <w:rsid w:val="00E202E9"/>
    <w:rsid w:val="00E216DE"/>
    <w:rsid w:val="00E21D67"/>
    <w:rsid w:val="00E22442"/>
    <w:rsid w:val="00E2263F"/>
    <w:rsid w:val="00E2277F"/>
    <w:rsid w:val="00E22D1B"/>
    <w:rsid w:val="00E22F9B"/>
    <w:rsid w:val="00E23C1A"/>
    <w:rsid w:val="00E240A7"/>
    <w:rsid w:val="00E2451B"/>
    <w:rsid w:val="00E24A00"/>
    <w:rsid w:val="00E24AAD"/>
    <w:rsid w:val="00E24C6F"/>
    <w:rsid w:val="00E25224"/>
    <w:rsid w:val="00E25883"/>
    <w:rsid w:val="00E258B5"/>
    <w:rsid w:val="00E25AAC"/>
    <w:rsid w:val="00E25CFC"/>
    <w:rsid w:val="00E25E98"/>
    <w:rsid w:val="00E25EEA"/>
    <w:rsid w:val="00E25F43"/>
    <w:rsid w:val="00E26228"/>
    <w:rsid w:val="00E2689E"/>
    <w:rsid w:val="00E26BE7"/>
    <w:rsid w:val="00E26C02"/>
    <w:rsid w:val="00E26C44"/>
    <w:rsid w:val="00E271CF"/>
    <w:rsid w:val="00E2749C"/>
    <w:rsid w:val="00E27508"/>
    <w:rsid w:val="00E2756C"/>
    <w:rsid w:val="00E27759"/>
    <w:rsid w:val="00E277D0"/>
    <w:rsid w:val="00E27E4A"/>
    <w:rsid w:val="00E27FE8"/>
    <w:rsid w:val="00E3008B"/>
    <w:rsid w:val="00E301C5"/>
    <w:rsid w:val="00E30901"/>
    <w:rsid w:val="00E30D55"/>
    <w:rsid w:val="00E31401"/>
    <w:rsid w:val="00E314F4"/>
    <w:rsid w:val="00E31622"/>
    <w:rsid w:val="00E316E4"/>
    <w:rsid w:val="00E31A43"/>
    <w:rsid w:val="00E31BA3"/>
    <w:rsid w:val="00E323AC"/>
    <w:rsid w:val="00E323FF"/>
    <w:rsid w:val="00E326D0"/>
    <w:rsid w:val="00E32768"/>
    <w:rsid w:val="00E33229"/>
    <w:rsid w:val="00E33350"/>
    <w:rsid w:val="00E33C74"/>
    <w:rsid w:val="00E33C99"/>
    <w:rsid w:val="00E33DA3"/>
    <w:rsid w:val="00E350A4"/>
    <w:rsid w:val="00E35A1C"/>
    <w:rsid w:val="00E35D74"/>
    <w:rsid w:val="00E363C5"/>
    <w:rsid w:val="00E363CF"/>
    <w:rsid w:val="00E3669F"/>
    <w:rsid w:val="00E3675E"/>
    <w:rsid w:val="00E36972"/>
    <w:rsid w:val="00E369E6"/>
    <w:rsid w:val="00E36ABE"/>
    <w:rsid w:val="00E36F42"/>
    <w:rsid w:val="00E37110"/>
    <w:rsid w:val="00E3754A"/>
    <w:rsid w:val="00E3757E"/>
    <w:rsid w:val="00E376AE"/>
    <w:rsid w:val="00E3778C"/>
    <w:rsid w:val="00E37BED"/>
    <w:rsid w:val="00E37DFC"/>
    <w:rsid w:val="00E37EC1"/>
    <w:rsid w:val="00E40099"/>
    <w:rsid w:val="00E401EA"/>
    <w:rsid w:val="00E4069B"/>
    <w:rsid w:val="00E40920"/>
    <w:rsid w:val="00E40A19"/>
    <w:rsid w:val="00E40DD7"/>
    <w:rsid w:val="00E42155"/>
    <w:rsid w:val="00E42251"/>
    <w:rsid w:val="00E4237C"/>
    <w:rsid w:val="00E423A0"/>
    <w:rsid w:val="00E423D4"/>
    <w:rsid w:val="00E4244F"/>
    <w:rsid w:val="00E42821"/>
    <w:rsid w:val="00E42C40"/>
    <w:rsid w:val="00E42D3B"/>
    <w:rsid w:val="00E43298"/>
    <w:rsid w:val="00E432E4"/>
    <w:rsid w:val="00E435E7"/>
    <w:rsid w:val="00E43A0C"/>
    <w:rsid w:val="00E43B3C"/>
    <w:rsid w:val="00E43F83"/>
    <w:rsid w:val="00E4421A"/>
    <w:rsid w:val="00E443BC"/>
    <w:rsid w:val="00E44A56"/>
    <w:rsid w:val="00E44C44"/>
    <w:rsid w:val="00E44F74"/>
    <w:rsid w:val="00E45286"/>
    <w:rsid w:val="00E453F0"/>
    <w:rsid w:val="00E4550A"/>
    <w:rsid w:val="00E456FF"/>
    <w:rsid w:val="00E45A5E"/>
    <w:rsid w:val="00E45B28"/>
    <w:rsid w:val="00E4601E"/>
    <w:rsid w:val="00E46023"/>
    <w:rsid w:val="00E46321"/>
    <w:rsid w:val="00E464E9"/>
    <w:rsid w:val="00E46546"/>
    <w:rsid w:val="00E466CA"/>
    <w:rsid w:val="00E46AAF"/>
    <w:rsid w:val="00E475CA"/>
    <w:rsid w:val="00E47790"/>
    <w:rsid w:val="00E479E1"/>
    <w:rsid w:val="00E50052"/>
    <w:rsid w:val="00E5022A"/>
    <w:rsid w:val="00E5029A"/>
    <w:rsid w:val="00E50B5B"/>
    <w:rsid w:val="00E50C3F"/>
    <w:rsid w:val="00E50CD2"/>
    <w:rsid w:val="00E51148"/>
    <w:rsid w:val="00E51452"/>
    <w:rsid w:val="00E515DA"/>
    <w:rsid w:val="00E51810"/>
    <w:rsid w:val="00E51EB8"/>
    <w:rsid w:val="00E523D1"/>
    <w:rsid w:val="00E52738"/>
    <w:rsid w:val="00E527E5"/>
    <w:rsid w:val="00E52CD3"/>
    <w:rsid w:val="00E532AB"/>
    <w:rsid w:val="00E53320"/>
    <w:rsid w:val="00E5350A"/>
    <w:rsid w:val="00E537B5"/>
    <w:rsid w:val="00E53CE3"/>
    <w:rsid w:val="00E53D7D"/>
    <w:rsid w:val="00E54321"/>
    <w:rsid w:val="00E543A4"/>
    <w:rsid w:val="00E5451A"/>
    <w:rsid w:val="00E54723"/>
    <w:rsid w:val="00E5486A"/>
    <w:rsid w:val="00E54D9B"/>
    <w:rsid w:val="00E54FDD"/>
    <w:rsid w:val="00E550B8"/>
    <w:rsid w:val="00E5520C"/>
    <w:rsid w:val="00E553BF"/>
    <w:rsid w:val="00E554DA"/>
    <w:rsid w:val="00E557F9"/>
    <w:rsid w:val="00E55803"/>
    <w:rsid w:val="00E559DD"/>
    <w:rsid w:val="00E55C3C"/>
    <w:rsid w:val="00E55D0C"/>
    <w:rsid w:val="00E565F0"/>
    <w:rsid w:val="00E567E0"/>
    <w:rsid w:val="00E56B31"/>
    <w:rsid w:val="00E575D8"/>
    <w:rsid w:val="00E57A14"/>
    <w:rsid w:val="00E60446"/>
    <w:rsid w:val="00E6049D"/>
    <w:rsid w:val="00E6085F"/>
    <w:rsid w:val="00E608F2"/>
    <w:rsid w:val="00E60B3A"/>
    <w:rsid w:val="00E60C10"/>
    <w:rsid w:val="00E60DC9"/>
    <w:rsid w:val="00E60E81"/>
    <w:rsid w:val="00E60EA4"/>
    <w:rsid w:val="00E6109F"/>
    <w:rsid w:val="00E61142"/>
    <w:rsid w:val="00E6138D"/>
    <w:rsid w:val="00E61880"/>
    <w:rsid w:val="00E618BF"/>
    <w:rsid w:val="00E61AAC"/>
    <w:rsid w:val="00E61C9B"/>
    <w:rsid w:val="00E61F83"/>
    <w:rsid w:val="00E6204F"/>
    <w:rsid w:val="00E6249F"/>
    <w:rsid w:val="00E628CC"/>
    <w:rsid w:val="00E62A77"/>
    <w:rsid w:val="00E62D05"/>
    <w:rsid w:val="00E6360E"/>
    <w:rsid w:val="00E63AFA"/>
    <w:rsid w:val="00E63E8C"/>
    <w:rsid w:val="00E63EBE"/>
    <w:rsid w:val="00E645A3"/>
    <w:rsid w:val="00E648E3"/>
    <w:rsid w:val="00E64A5E"/>
    <w:rsid w:val="00E64B9C"/>
    <w:rsid w:val="00E65013"/>
    <w:rsid w:val="00E657D2"/>
    <w:rsid w:val="00E659BE"/>
    <w:rsid w:val="00E659F5"/>
    <w:rsid w:val="00E65D8C"/>
    <w:rsid w:val="00E65DBC"/>
    <w:rsid w:val="00E6673D"/>
    <w:rsid w:val="00E667EE"/>
    <w:rsid w:val="00E66C10"/>
    <w:rsid w:val="00E66D9B"/>
    <w:rsid w:val="00E66EFB"/>
    <w:rsid w:val="00E6726E"/>
    <w:rsid w:val="00E67753"/>
    <w:rsid w:val="00E67EF6"/>
    <w:rsid w:val="00E70817"/>
    <w:rsid w:val="00E70844"/>
    <w:rsid w:val="00E70995"/>
    <w:rsid w:val="00E70CA6"/>
    <w:rsid w:val="00E70F33"/>
    <w:rsid w:val="00E70F61"/>
    <w:rsid w:val="00E70F69"/>
    <w:rsid w:val="00E712F7"/>
    <w:rsid w:val="00E713B2"/>
    <w:rsid w:val="00E7152C"/>
    <w:rsid w:val="00E719B4"/>
    <w:rsid w:val="00E719CC"/>
    <w:rsid w:val="00E71C02"/>
    <w:rsid w:val="00E7219B"/>
    <w:rsid w:val="00E724BB"/>
    <w:rsid w:val="00E72FD0"/>
    <w:rsid w:val="00E73EF2"/>
    <w:rsid w:val="00E73F16"/>
    <w:rsid w:val="00E7423F"/>
    <w:rsid w:val="00E74349"/>
    <w:rsid w:val="00E754A5"/>
    <w:rsid w:val="00E755AA"/>
    <w:rsid w:val="00E75BB9"/>
    <w:rsid w:val="00E75EBE"/>
    <w:rsid w:val="00E75F60"/>
    <w:rsid w:val="00E7621C"/>
    <w:rsid w:val="00E7622C"/>
    <w:rsid w:val="00E7691B"/>
    <w:rsid w:val="00E76B59"/>
    <w:rsid w:val="00E77013"/>
    <w:rsid w:val="00E77563"/>
    <w:rsid w:val="00E779C1"/>
    <w:rsid w:val="00E77F5F"/>
    <w:rsid w:val="00E801DB"/>
    <w:rsid w:val="00E8030F"/>
    <w:rsid w:val="00E809E1"/>
    <w:rsid w:val="00E80CAF"/>
    <w:rsid w:val="00E81175"/>
    <w:rsid w:val="00E81923"/>
    <w:rsid w:val="00E81B6C"/>
    <w:rsid w:val="00E81CC8"/>
    <w:rsid w:val="00E81E2C"/>
    <w:rsid w:val="00E821BD"/>
    <w:rsid w:val="00E82436"/>
    <w:rsid w:val="00E827C9"/>
    <w:rsid w:val="00E82B2E"/>
    <w:rsid w:val="00E83116"/>
    <w:rsid w:val="00E831CC"/>
    <w:rsid w:val="00E83439"/>
    <w:rsid w:val="00E834C3"/>
    <w:rsid w:val="00E83541"/>
    <w:rsid w:val="00E8357C"/>
    <w:rsid w:val="00E839CE"/>
    <w:rsid w:val="00E83C6D"/>
    <w:rsid w:val="00E840BE"/>
    <w:rsid w:val="00E84235"/>
    <w:rsid w:val="00E85479"/>
    <w:rsid w:val="00E85D22"/>
    <w:rsid w:val="00E86007"/>
    <w:rsid w:val="00E863E5"/>
    <w:rsid w:val="00E864C7"/>
    <w:rsid w:val="00E865D1"/>
    <w:rsid w:val="00E86CDA"/>
    <w:rsid w:val="00E873BE"/>
    <w:rsid w:val="00E876F4"/>
    <w:rsid w:val="00E87ABA"/>
    <w:rsid w:val="00E9025B"/>
    <w:rsid w:val="00E903F6"/>
    <w:rsid w:val="00E90AA6"/>
    <w:rsid w:val="00E90BAB"/>
    <w:rsid w:val="00E90E54"/>
    <w:rsid w:val="00E90FE3"/>
    <w:rsid w:val="00E9153E"/>
    <w:rsid w:val="00E9169A"/>
    <w:rsid w:val="00E91745"/>
    <w:rsid w:val="00E91D33"/>
    <w:rsid w:val="00E91FD5"/>
    <w:rsid w:val="00E92100"/>
    <w:rsid w:val="00E9262B"/>
    <w:rsid w:val="00E92752"/>
    <w:rsid w:val="00E930A3"/>
    <w:rsid w:val="00E938A1"/>
    <w:rsid w:val="00E94033"/>
    <w:rsid w:val="00E94401"/>
    <w:rsid w:val="00E94ACF"/>
    <w:rsid w:val="00E94B0E"/>
    <w:rsid w:val="00E94F3F"/>
    <w:rsid w:val="00E951F7"/>
    <w:rsid w:val="00E95366"/>
    <w:rsid w:val="00E95492"/>
    <w:rsid w:val="00E95B3C"/>
    <w:rsid w:val="00E95F18"/>
    <w:rsid w:val="00E95F8C"/>
    <w:rsid w:val="00E9622B"/>
    <w:rsid w:val="00E96281"/>
    <w:rsid w:val="00E964EC"/>
    <w:rsid w:val="00E96B42"/>
    <w:rsid w:val="00E96C8B"/>
    <w:rsid w:val="00E96F51"/>
    <w:rsid w:val="00E97686"/>
    <w:rsid w:val="00E97C4B"/>
    <w:rsid w:val="00E97D27"/>
    <w:rsid w:val="00EA020F"/>
    <w:rsid w:val="00EA02E8"/>
    <w:rsid w:val="00EA0338"/>
    <w:rsid w:val="00EA0385"/>
    <w:rsid w:val="00EA0513"/>
    <w:rsid w:val="00EA07AE"/>
    <w:rsid w:val="00EA0987"/>
    <w:rsid w:val="00EA099E"/>
    <w:rsid w:val="00EA0AAD"/>
    <w:rsid w:val="00EA0C95"/>
    <w:rsid w:val="00EA0EE6"/>
    <w:rsid w:val="00EA10E7"/>
    <w:rsid w:val="00EA1AC0"/>
    <w:rsid w:val="00EA21AC"/>
    <w:rsid w:val="00EA23B3"/>
    <w:rsid w:val="00EA2637"/>
    <w:rsid w:val="00EA2714"/>
    <w:rsid w:val="00EA2724"/>
    <w:rsid w:val="00EA278E"/>
    <w:rsid w:val="00EA2FB8"/>
    <w:rsid w:val="00EA30F9"/>
    <w:rsid w:val="00EA3CD7"/>
    <w:rsid w:val="00EA3DEC"/>
    <w:rsid w:val="00EA483E"/>
    <w:rsid w:val="00EA4A7D"/>
    <w:rsid w:val="00EA4A84"/>
    <w:rsid w:val="00EA4B41"/>
    <w:rsid w:val="00EA5950"/>
    <w:rsid w:val="00EA632C"/>
    <w:rsid w:val="00EA692E"/>
    <w:rsid w:val="00EA6974"/>
    <w:rsid w:val="00EA6E76"/>
    <w:rsid w:val="00EB0273"/>
    <w:rsid w:val="00EB0C94"/>
    <w:rsid w:val="00EB14F7"/>
    <w:rsid w:val="00EB1BCF"/>
    <w:rsid w:val="00EB1D8C"/>
    <w:rsid w:val="00EB203B"/>
    <w:rsid w:val="00EB21E4"/>
    <w:rsid w:val="00EB26EE"/>
    <w:rsid w:val="00EB27F8"/>
    <w:rsid w:val="00EB2CDF"/>
    <w:rsid w:val="00EB32F2"/>
    <w:rsid w:val="00EB38B6"/>
    <w:rsid w:val="00EB3ABE"/>
    <w:rsid w:val="00EB3C76"/>
    <w:rsid w:val="00EB409C"/>
    <w:rsid w:val="00EB411F"/>
    <w:rsid w:val="00EB45B8"/>
    <w:rsid w:val="00EB5518"/>
    <w:rsid w:val="00EB5AEF"/>
    <w:rsid w:val="00EB5CA8"/>
    <w:rsid w:val="00EB5D03"/>
    <w:rsid w:val="00EB63F5"/>
    <w:rsid w:val="00EB6DE9"/>
    <w:rsid w:val="00EB6FD4"/>
    <w:rsid w:val="00EB7290"/>
    <w:rsid w:val="00EB784A"/>
    <w:rsid w:val="00EB78A1"/>
    <w:rsid w:val="00EB7BC4"/>
    <w:rsid w:val="00EB7D5B"/>
    <w:rsid w:val="00EC0644"/>
    <w:rsid w:val="00EC06C2"/>
    <w:rsid w:val="00EC08E5"/>
    <w:rsid w:val="00EC0943"/>
    <w:rsid w:val="00EC0E14"/>
    <w:rsid w:val="00EC0E26"/>
    <w:rsid w:val="00EC0E28"/>
    <w:rsid w:val="00EC1389"/>
    <w:rsid w:val="00EC1395"/>
    <w:rsid w:val="00EC15AE"/>
    <w:rsid w:val="00EC1B2F"/>
    <w:rsid w:val="00EC2566"/>
    <w:rsid w:val="00EC2E7B"/>
    <w:rsid w:val="00EC315B"/>
    <w:rsid w:val="00EC37BC"/>
    <w:rsid w:val="00EC428E"/>
    <w:rsid w:val="00EC43B8"/>
    <w:rsid w:val="00EC4AFF"/>
    <w:rsid w:val="00EC4ECE"/>
    <w:rsid w:val="00EC536F"/>
    <w:rsid w:val="00EC56D5"/>
    <w:rsid w:val="00EC56DD"/>
    <w:rsid w:val="00EC62AF"/>
    <w:rsid w:val="00EC63AA"/>
    <w:rsid w:val="00EC64BF"/>
    <w:rsid w:val="00EC64C0"/>
    <w:rsid w:val="00EC69BD"/>
    <w:rsid w:val="00EC6EAF"/>
    <w:rsid w:val="00EC76DD"/>
    <w:rsid w:val="00EC78A5"/>
    <w:rsid w:val="00EC78D2"/>
    <w:rsid w:val="00EC795B"/>
    <w:rsid w:val="00EC79EC"/>
    <w:rsid w:val="00EC7A7B"/>
    <w:rsid w:val="00EC7B56"/>
    <w:rsid w:val="00EC7E60"/>
    <w:rsid w:val="00ED02A2"/>
    <w:rsid w:val="00ED033C"/>
    <w:rsid w:val="00ED0AAC"/>
    <w:rsid w:val="00ED0B4F"/>
    <w:rsid w:val="00ED0D69"/>
    <w:rsid w:val="00ED0ED0"/>
    <w:rsid w:val="00ED0F62"/>
    <w:rsid w:val="00ED109E"/>
    <w:rsid w:val="00ED12A9"/>
    <w:rsid w:val="00ED12C2"/>
    <w:rsid w:val="00ED15F4"/>
    <w:rsid w:val="00ED1981"/>
    <w:rsid w:val="00ED1989"/>
    <w:rsid w:val="00ED1AF7"/>
    <w:rsid w:val="00ED1FF9"/>
    <w:rsid w:val="00ED22F1"/>
    <w:rsid w:val="00ED2636"/>
    <w:rsid w:val="00ED2A1A"/>
    <w:rsid w:val="00ED2B86"/>
    <w:rsid w:val="00ED3044"/>
    <w:rsid w:val="00ED3191"/>
    <w:rsid w:val="00ED451F"/>
    <w:rsid w:val="00ED482F"/>
    <w:rsid w:val="00ED4A06"/>
    <w:rsid w:val="00ED5109"/>
    <w:rsid w:val="00ED57DA"/>
    <w:rsid w:val="00ED5E07"/>
    <w:rsid w:val="00ED5F3C"/>
    <w:rsid w:val="00ED60BC"/>
    <w:rsid w:val="00ED61C1"/>
    <w:rsid w:val="00ED7007"/>
    <w:rsid w:val="00ED70D6"/>
    <w:rsid w:val="00ED78A7"/>
    <w:rsid w:val="00ED79A1"/>
    <w:rsid w:val="00EE054C"/>
    <w:rsid w:val="00EE0807"/>
    <w:rsid w:val="00EE0813"/>
    <w:rsid w:val="00EE1818"/>
    <w:rsid w:val="00EE1CA2"/>
    <w:rsid w:val="00EE248E"/>
    <w:rsid w:val="00EE280B"/>
    <w:rsid w:val="00EE2AD2"/>
    <w:rsid w:val="00EE2C60"/>
    <w:rsid w:val="00EE3099"/>
    <w:rsid w:val="00EE3250"/>
    <w:rsid w:val="00EE36E5"/>
    <w:rsid w:val="00EE3D81"/>
    <w:rsid w:val="00EE444B"/>
    <w:rsid w:val="00EE4859"/>
    <w:rsid w:val="00EE48D3"/>
    <w:rsid w:val="00EE49BC"/>
    <w:rsid w:val="00EE540B"/>
    <w:rsid w:val="00EE6255"/>
    <w:rsid w:val="00EE6C18"/>
    <w:rsid w:val="00EE6DA2"/>
    <w:rsid w:val="00EE6FB6"/>
    <w:rsid w:val="00EE716A"/>
    <w:rsid w:val="00EE748F"/>
    <w:rsid w:val="00EE7A5B"/>
    <w:rsid w:val="00EE7E5F"/>
    <w:rsid w:val="00EF0029"/>
    <w:rsid w:val="00EF0389"/>
    <w:rsid w:val="00EF0622"/>
    <w:rsid w:val="00EF07EF"/>
    <w:rsid w:val="00EF1693"/>
    <w:rsid w:val="00EF1E8D"/>
    <w:rsid w:val="00EF20ED"/>
    <w:rsid w:val="00EF24BE"/>
    <w:rsid w:val="00EF25A2"/>
    <w:rsid w:val="00EF2A5C"/>
    <w:rsid w:val="00EF304E"/>
    <w:rsid w:val="00EF3471"/>
    <w:rsid w:val="00EF393E"/>
    <w:rsid w:val="00EF3AA9"/>
    <w:rsid w:val="00EF3B67"/>
    <w:rsid w:val="00EF3FEA"/>
    <w:rsid w:val="00EF40DA"/>
    <w:rsid w:val="00EF4217"/>
    <w:rsid w:val="00EF42F8"/>
    <w:rsid w:val="00EF4A36"/>
    <w:rsid w:val="00EF4CB5"/>
    <w:rsid w:val="00EF4DF9"/>
    <w:rsid w:val="00EF4E4E"/>
    <w:rsid w:val="00EF5450"/>
    <w:rsid w:val="00EF5538"/>
    <w:rsid w:val="00EF5A91"/>
    <w:rsid w:val="00EF649E"/>
    <w:rsid w:val="00EF64E4"/>
    <w:rsid w:val="00EF65DC"/>
    <w:rsid w:val="00EF7303"/>
    <w:rsid w:val="00EF7488"/>
    <w:rsid w:val="00EF779D"/>
    <w:rsid w:val="00EF7B1C"/>
    <w:rsid w:val="00EF7B37"/>
    <w:rsid w:val="00EF7B64"/>
    <w:rsid w:val="00EF7D3A"/>
    <w:rsid w:val="00F01CA8"/>
    <w:rsid w:val="00F01DBB"/>
    <w:rsid w:val="00F02025"/>
    <w:rsid w:val="00F023DE"/>
    <w:rsid w:val="00F0275C"/>
    <w:rsid w:val="00F02E04"/>
    <w:rsid w:val="00F02EE6"/>
    <w:rsid w:val="00F02FB9"/>
    <w:rsid w:val="00F02FBD"/>
    <w:rsid w:val="00F030C4"/>
    <w:rsid w:val="00F03D55"/>
    <w:rsid w:val="00F03F54"/>
    <w:rsid w:val="00F0410C"/>
    <w:rsid w:val="00F04883"/>
    <w:rsid w:val="00F0497C"/>
    <w:rsid w:val="00F050AF"/>
    <w:rsid w:val="00F051FF"/>
    <w:rsid w:val="00F053C0"/>
    <w:rsid w:val="00F0554A"/>
    <w:rsid w:val="00F05775"/>
    <w:rsid w:val="00F05C02"/>
    <w:rsid w:val="00F05D16"/>
    <w:rsid w:val="00F05DB1"/>
    <w:rsid w:val="00F05F73"/>
    <w:rsid w:val="00F05F7E"/>
    <w:rsid w:val="00F061AA"/>
    <w:rsid w:val="00F068DD"/>
    <w:rsid w:val="00F0690E"/>
    <w:rsid w:val="00F1048A"/>
    <w:rsid w:val="00F10493"/>
    <w:rsid w:val="00F1056E"/>
    <w:rsid w:val="00F10A00"/>
    <w:rsid w:val="00F110F8"/>
    <w:rsid w:val="00F11295"/>
    <w:rsid w:val="00F11BD6"/>
    <w:rsid w:val="00F11DB8"/>
    <w:rsid w:val="00F12522"/>
    <w:rsid w:val="00F128A6"/>
    <w:rsid w:val="00F128AA"/>
    <w:rsid w:val="00F12A4D"/>
    <w:rsid w:val="00F12DB1"/>
    <w:rsid w:val="00F12E23"/>
    <w:rsid w:val="00F1309F"/>
    <w:rsid w:val="00F133A5"/>
    <w:rsid w:val="00F13B6B"/>
    <w:rsid w:val="00F14054"/>
    <w:rsid w:val="00F14CEE"/>
    <w:rsid w:val="00F14CEF"/>
    <w:rsid w:val="00F15305"/>
    <w:rsid w:val="00F15368"/>
    <w:rsid w:val="00F158A0"/>
    <w:rsid w:val="00F15CC9"/>
    <w:rsid w:val="00F15ED0"/>
    <w:rsid w:val="00F160A3"/>
    <w:rsid w:val="00F1672B"/>
    <w:rsid w:val="00F16D36"/>
    <w:rsid w:val="00F175D5"/>
    <w:rsid w:val="00F2018F"/>
    <w:rsid w:val="00F209E3"/>
    <w:rsid w:val="00F20E68"/>
    <w:rsid w:val="00F21012"/>
    <w:rsid w:val="00F2117E"/>
    <w:rsid w:val="00F21221"/>
    <w:rsid w:val="00F217F6"/>
    <w:rsid w:val="00F21F25"/>
    <w:rsid w:val="00F2242B"/>
    <w:rsid w:val="00F2264B"/>
    <w:rsid w:val="00F22808"/>
    <w:rsid w:val="00F236A0"/>
    <w:rsid w:val="00F23D97"/>
    <w:rsid w:val="00F24897"/>
    <w:rsid w:val="00F24CFF"/>
    <w:rsid w:val="00F24EE0"/>
    <w:rsid w:val="00F25019"/>
    <w:rsid w:val="00F255B9"/>
    <w:rsid w:val="00F258AF"/>
    <w:rsid w:val="00F25AC4"/>
    <w:rsid w:val="00F25F44"/>
    <w:rsid w:val="00F26177"/>
    <w:rsid w:val="00F26F1A"/>
    <w:rsid w:val="00F27205"/>
    <w:rsid w:val="00F2747A"/>
    <w:rsid w:val="00F27578"/>
    <w:rsid w:val="00F27975"/>
    <w:rsid w:val="00F27D4D"/>
    <w:rsid w:val="00F27D63"/>
    <w:rsid w:val="00F27DA6"/>
    <w:rsid w:val="00F27F45"/>
    <w:rsid w:val="00F30379"/>
    <w:rsid w:val="00F313C3"/>
    <w:rsid w:val="00F315BC"/>
    <w:rsid w:val="00F3169C"/>
    <w:rsid w:val="00F317CF"/>
    <w:rsid w:val="00F31890"/>
    <w:rsid w:val="00F31BAE"/>
    <w:rsid w:val="00F31FE5"/>
    <w:rsid w:val="00F32096"/>
    <w:rsid w:val="00F32251"/>
    <w:rsid w:val="00F3278A"/>
    <w:rsid w:val="00F33004"/>
    <w:rsid w:val="00F33178"/>
    <w:rsid w:val="00F337D7"/>
    <w:rsid w:val="00F33D76"/>
    <w:rsid w:val="00F342D8"/>
    <w:rsid w:val="00F3443F"/>
    <w:rsid w:val="00F348C0"/>
    <w:rsid w:val="00F34C2E"/>
    <w:rsid w:val="00F34C33"/>
    <w:rsid w:val="00F34CE5"/>
    <w:rsid w:val="00F34ECB"/>
    <w:rsid w:val="00F3529C"/>
    <w:rsid w:val="00F35422"/>
    <w:rsid w:val="00F35508"/>
    <w:rsid w:val="00F35F8C"/>
    <w:rsid w:val="00F364AB"/>
    <w:rsid w:val="00F364C9"/>
    <w:rsid w:val="00F36807"/>
    <w:rsid w:val="00F36C4C"/>
    <w:rsid w:val="00F36EEA"/>
    <w:rsid w:val="00F36F01"/>
    <w:rsid w:val="00F3767E"/>
    <w:rsid w:val="00F376FC"/>
    <w:rsid w:val="00F377E2"/>
    <w:rsid w:val="00F377EE"/>
    <w:rsid w:val="00F37880"/>
    <w:rsid w:val="00F37C61"/>
    <w:rsid w:val="00F40925"/>
    <w:rsid w:val="00F41899"/>
    <w:rsid w:val="00F418A3"/>
    <w:rsid w:val="00F41A74"/>
    <w:rsid w:val="00F42297"/>
    <w:rsid w:val="00F422E4"/>
    <w:rsid w:val="00F42398"/>
    <w:rsid w:val="00F42571"/>
    <w:rsid w:val="00F42A47"/>
    <w:rsid w:val="00F42E6B"/>
    <w:rsid w:val="00F42EF1"/>
    <w:rsid w:val="00F44584"/>
    <w:rsid w:val="00F449E5"/>
    <w:rsid w:val="00F44ACF"/>
    <w:rsid w:val="00F458B2"/>
    <w:rsid w:val="00F45A6F"/>
    <w:rsid w:val="00F45C26"/>
    <w:rsid w:val="00F45D58"/>
    <w:rsid w:val="00F4609A"/>
    <w:rsid w:val="00F4612C"/>
    <w:rsid w:val="00F462AC"/>
    <w:rsid w:val="00F46405"/>
    <w:rsid w:val="00F466EF"/>
    <w:rsid w:val="00F4714C"/>
    <w:rsid w:val="00F473F2"/>
    <w:rsid w:val="00F47750"/>
    <w:rsid w:val="00F477C5"/>
    <w:rsid w:val="00F47B7E"/>
    <w:rsid w:val="00F47C03"/>
    <w:rsid w:val="00F50119"/>
    <w:rsid w:val="00F50312"/>
    <w:rsid w:val="00F50479"/>
    <w:rsid w:val="00F508F2"/>
    <w:rsid w:val="00F50CF4"/>
    <w:rsid w:val="00F51034"/>
    <w:rsid w:val="00F51370"/>
    <w:rsid w:val="00F518D3"/>
    <w:rsid w:val="00F51B89"/>
    <w:rsid w:val="00F51CDA"/>
    <w:rsid w:val="00F51D5A"/>
    <w:rsid w:val="00F53160"/>
    <w:rsid w:val="00F53697"/>
    <w:rsid w:val="00F53FBF"/>
    <w:rsid w:val="00F541F6"/>
    <w:rsid w:val="00F5464B"/>
    <w:rsid w:val="00F5497A"/>
    <w:rsid w:val="00F54BCC"/>
    <w:rsid w:val="00F54CB8"/>
    <w:rsid w:val="00F54DD7"/>
    <w:rsid w:val="00F550F8"/>
    <w:rsid w:val="00F5548D"/>
    <w:rsid w:val="00F55624"/>
    <w:rsid w:val="00F55EED"/>
    <w:rsid w:val="00F55F52"/>
    <w:rsid w:val="00F56163"/>
    <w:rsid w:val="00F5652B"/>
    <w:rsid w:val="00F5652D"/>
    <w:rsid w:val="00F56977"/>
    <w:rsid w:val="00F56F1A"/>
    <w:rsid w:val="00F57280"/>
    <w:rsid w:val="00F574B1"/>
    <w:rsid w:val="00F5758C"/>
    <w:rsid w:val="00F57762"/>
    <w:rsid w:val="00F57AAB"/>
    <w:rsid w:val="00F57CB2"/>
    <w:rsid w:val="00F57DD6"/>
    <w:rsid w:val="00F57F11"/>
    <w:rsid w:val="00F6029C"/>
    <w:rsid w:val="00F60418"/>
    <w:rsid w:val="00F6042C"/>
    <w:rsid w:val="00F60AB4"/>
    <w:rsid w:val="00F60BF5"/>
    <w:rsid w:val="00F60EFF"/>
    <w:rsid w:val="00F617CE"/>
    <w:rsid w:val="00F61F5E"/>
    <w:rsid w:val="00F6204C"/>
    <w:rsid w:val="00F62085"/>
    <w:rsid w:val="00F62B96"/>
    <w:rsid w:val="00F63124"/>
    <w:rsid w:val="00F6323D"/>
    <w:rsid w:val="00F634BD"/>
    <w:rsid w:val="00F6365E"/>
    <w:rsid w:val="00F63751"/>
    <w:rsid w:val="00F6384C"/>
    <w:rsid w:val="00F63BBD"/>
    <w:rsid w:val="00F63F41"/>
    <w:rsid w:val="00F6409B"/>
    <w:rsid w:val="00F64215"/>
    <w:rsid w:val="00F6478D"/>
    <w:rsid w:val="00F64CB5"/>
    <w:rsid w:val="00F64F21"/>
    <w:rsid w:val="00F65304"/>
    <w:rsid w:val="00F65391"/>
    <w:rsid w:val="00F654FA"/>
    <w:rsid w:val="00F656F6"/>
    <w:rsid w:val="00F65A94"/>
    <w:rsid w:val="00F65C32"/>
    <w:rsid w:val="00F6600D"/>
    <w:rsid w:val="00F664CA"/>
    <w:rsid w:val="00F665F1"/>
    <w:rsid w:val="00F6676D"/>
    <w:rsid w:val="00F66AEC"/>
    <w:rsid w:val="00F66FAA"/>
    <w:rsid w:val="00F673A7"/>
    <w:rsid w:val="00F67555"/>
    <w:rsid w:val="00F67598"/>
    <w:rsid w:val="00F67C80"/>
    <w:rsid w:val="00F701C2"/>
    <w:rsid w:val="00F709F8"/>
    <w:rsid w:val="00F70D9A"/>
    <w:rsid w:val="00F712F3"/>
    <w:rsid w:val="00F71812"/>
    <w:rsid w:val="00F71A73"/>
    <w:rsid w:val="00F72216"/>
    <w:rsid w:val="00F72CCE"/>
    <w:rsid w:val="00F72D98"/>
    <w:rsid w:val="00F73126"/>
    <w:rsid w:val="00F73B7C"/>
    <w:rsid w:val="00F73CDE"/>
    <w:rsid w:val="00F73E93"/>
    <w:rsid w:val="00F73EB9"/>
    <w:rsid w:val="00F746BE"/>
    <w:rsid w:val="00F74729"/>
    <w:rsid w:val="00F74AB6"/>
    <w:rsid w:val="00F75A3B"/>
    <w:rsid w:val="00F75CB1"/>
    <w:rsid w:val="00F76044"/>
    <w:rsid w:val="00F76AEB"/>
    <w:rsid w:val="00F76F27"/>
    <w:rsid w:val="00F772DD"/>
    <w:rsid w:val="00F774B6"/>
    <w:rsid w:val="00F77660"/>
    <w:rsid w:val="00F77735"/>
    <w:rsid w:val="00F778DB"/>
    <w:rsid w:val="00F802C1"/>
    <w:rsid w:val="00F80642"/>
    <w:rsid w:val="00F80A2C"/>
    <w:rsid w:val="00F80B60"/>
    <w:rsid w:val="00F80DF5"/>
    <w:rsid w:val="00F81326"/>
    <w:rsid w:val="00F81345"/>
    <w:rsid w:val="00F81822"/>
    <w:rsid w:val="00F81BF8"/>
    <w:rsid w:val="00F81D07"/>
    <w:rsid w:val="00F81E72"/>
    <w:rsid w:val="00F82063"/>
    <w:rsid w:val="00F824CF"/>
    <w:rsid w:val="00F82557"/>
    <w:rsid w:val="00F82A57"/>
    <w:rsid w:val="00F82ABE"/>
    <w:rsid w:val="00F82F28"/>
    <w:rsid w:val="00F83100"/>
    <w:rsid w:val="00F8340F"/>
    <w:rsid w:val="00F83601"/>
    <w:rsid w:val="00F837B1"/>
    <w:rsid w:val="00F83DEC"/>
    <w:rsid w:val="00F83E66"/>
    <w:rsid w:val="00F83EC2"/>
    <w:rsid w:val="00F84481"/>
    <w:rsid w:val="00F848C2"/>
    <w:rsid w:val="00F84A58"/>
    <w:rsid w:val="00F84EB6"/>
    <w:rsid w:val="00F84FE8"/>
    <w:rsid w:val="00F851C1"/>
    <w:rsid w:val="00F85204"/>
    <w:rsid w:val="00F85598"/>
    <w:rsid w:val="00F855FB"/>
    <w:rsid w:val="00F85CD7"/>
    <w:rsid w:val="00F85CFD"/>
    <w:rsid w:val="00F85E04"/>
    <w:rsid w:val="00F8614E"/>
    <w:rsid w:val="00F8634F"/>
    <w:rsid w:val="00F8647A"/>
    <w:rsid w:val="00F86C61"/>
    <w:rsid w:val="00F86EB8"/>
    <w:rsid w:val="00F872CD"/>
    <w:rsid w:val="00F87655"/>
    <w:rsid w:val="00F87E0B"/>
    <w:rsid w:val="00F87EDD"/>
    <w:rsid w:val="00F87F94"/>
    <w:rsid w:val="00F9002E"/>
    <w:rsid w:val="00F901A2"/>
    <w:rsid w:val="00F90862"/>
    <w:rsid w:val="00F90989"/>
    <w:rsid w:val="00F90F88"/>
    <w:rsid w:val="00F912D5"/>
    <w:rsid w:val="00F91BA4"/>
    <w:rsid w:val="00F91D79"/>
    <w:rsid w:val="00F91F60"/>
    <w:rsid w:val="00F91FB4"/>
    <w:rsid w:val="00F92BEE"/>
    <w:rsid w:val="00F93642"/>
    <w:rsid w:val="00F93769"/>
    <w:rsid w:val="00F93EDE"/>
    <w:rsid w:val="00F94692"/>
    <w:rsid w:val="00F94F65"/>
    <w:rsid w:val="00F9504D"/>
    <w:rsid w:val="00F951CC"/>
    <w:rsid w:val="00F95D1C"/>
    <w:rsid w:val="00F9673B"/>
    <w:rsid w:val="00F96E41"/>
    <w:rsid w:val="00F974CF"/>
    <w:rsid w:val="00F97559"/>
    <w:rsid w:val="00F9783A"/>
    <w:rsid w:val="00F97FDD"/>
    <w:rsid w:val="00FA002B"/>
    <w:rsid w:val="00FA06AE"/>
    <w:rsid w:val="00FA09A4"/>
    <w:rsid w:val="00FA0AEB"/>
    <w:rsid w:val="00FA0BC2"/>
    <w:rsid w:val="00FA0C09"/>
    <w:rsid w:val="00FA10EE"/>
    <w:rsid w:val="00FA118A"/>
    <w:rsid w:val="00FA15F8"/>
    <w:rsid w:val="00FA1B32"/>
    <w:rsid w:val="00FA2606"/>
    <w:rsid w:val="00FA2672"/>
    <w:rsid w:val="00FA27B1"/>
    <w:rsid w:val="00FA2A19"/>
    <w:rsid w:val="00FA304E"/>
    <w:rsid w:val="00FA31D5"/>
    <w:rsid w:val="00FA3846"/>
    <w:rsid w:val="00FA3926"/>
    <w:rsid w:val="00FA3E72"/>
    <w:rsid w:val="00FA3F0C"/>
    <w:rsid w:val="00FA3F25"/>
    <w:rsid w:val="00FA46D8"/>
    <w:rsid w:val="00FA4BC2"/>
    <w:rsid w:val="00FA5084"/>
    <w:rsid w:val="00FA5172"/>
    <w:rsid w:val="00FA55D4"/>
    <w:rsid w:val="00FA5BC1"/>
    <w:rsid w:val="00FA5C76"/>
    <w:rsid w:val="00FA5D68"/>
    <w:rsid w:val="00FA5DE2"/>
    <w:rsid w:val="00FA5F6B"/>
    <w:rsid w:val="00FA6108"/>
    <w:rsid w:val="00FA6189"/>
    <w:rsid w:val="00FA66DA"/>
    <w:rsid w:val="00FA6A7B"/>
    <w:rsid w:val="00FA6F07"/>
    <w:rsid w:val="00FA7793"/>
    <w:rsid w:val="00FA78EE"/>
    <w:rsid w:val="00FA7977"/>
    <w:rsid w:val="00FB02BF"/>
    <w:rsid w:val="00FB10FA"/>
    <w:rsid w:val="00FB1AA2"/>
    <w:rsid w:val="00FB1B86"/>
    <w:rsid w:val="00FB1CC8"/>
    <w:rsid w:val="00FB1D68"/>
    <w:rsid w:val="00FB1FAD"/>
    <w:rsid w:val="00FB2033"/>
    <w:rsid w:val="00FB2256"/>
    <w:rsid w:val="00FB2426"/>
    <w:rsid w:val="00FB25B0"/>
    <w:rsid w:val="00FB2CFA"/>
    <w:rsid w:val="00FB2D63"/>
    <w:rsid w:val="00FB2F92"/>
    <w:rsid w:val="00FB354B"/>
    <w:rsid w:val="00FB382E"/>
    <w:rsid w:val="00FB3A05"/>
    <w:rsid w:val="00FB3DED"/>
    <w:rsid w:val="00FB4163"/>
    <w:rsid w:val="00FB4510"/>
    <w:rsid w:val="00FB482F"/>
    <w:rsid w:val="00FB4F93"/>
    <w:rsid w:val="00FB5101"/>
    <w:rsid w:val="00FB5686"/>
    <w:rsid w:val="00FB57E5"/>
    <w:rsid w:val="00FB5A46"/>
    <w:rsid w:val="00FB5A60"/>
    <w:rsid w:val="00FB6074"/>
    <w:rsid w:val="00FB671E"/>
    <w:rsid w:val="00FB6899"/>
    <w:rsid w:val="00FB6B29"/>
    <w:rsid w:val="00FB6EEB"/>
    <w:rsid w:val="00FB6F68"/>
    <w:rsid w:val="00FB7165"/>
    <w:rsid w:val="00FB7DAB"/>
    <w:rsid w:val="00FB7ED1"/>
    <w:rsid w:val="00FC03CA"/>
    <w:rsid w:val="00FC04DA"/>
    <w:rsid w:val="00FC12D8"/>
    <w:rsid w:val="00FC1749"/>
    <w:rsid w:val="00FC1848"/>
    <w:rsid w:val="00FC1B39"/>
    <w:rsid w:val="00FC21C3"/>
    <w:rsid w:val="00FC220F"/>
    <w:rsid w:val="00FC22F9"/>
    <w:rsid w:val="00FC23E8"/>
    <w:rsid w:val="00FC313C"/>
    <w:rsid w:val="00FC35F4"/>
    <w:rsid w:val="00FC3670"/>
    <w:rsid w:val="00FC3B66"/>
    <w:rsid w:val="00FC3CEC"/>
    <w:rsid w:val="00FC437C"/>
    <w:rsid w:val="00FC4C3C"/>
    <w:rsid w:val="00FC4C8E"/>
    <w:rsid w:val="00FC4CF5"/>
    <w:rsid w:val="00FC4ED5"/>
    <w:rsid w:val="00FC5C3B"/>
    <w:rsid w:val="00FC62CC"/>
    <w:rsid w:val="00FC6354"/>
    <w:rsid w:val="00FC6677"/>
    <w:rsid w:val="00FC697B"/>
    <w:rsid w:val="00FC6ABB"/>
    <w:rsid w:val="00FC7061"/>
    <w:rsid w:val="00FC7194"/>
    <w:rsid w:val="00FC75D2"/>
    <w:rsid w:val="00FD0628"/>
    <w:rsid w:val="00FD1108"/>
    <w:rsid w:val="00FD110E"/>
    <w:rsid w:val="00FD1318"/>
    <w:rsid w:val="00FD189F"/>
    <w:rsid w:val="00FD1B22"/>
    <w:rsid w:val="00FD223D"/>
    <w:rsid w:val="00FD2420"/>
    <w:rsid w:val="00FD2428"/>
    <w:rsid w:val="00FD2441"/>
    <w:rsid w:val="00FD270A"/>
    <w:rsid w:val="00FD2A7D"/>
    <w:rsid w:val="00FD2D4B"/>
    <w:rsid w:val="00FD33E2"/>
    <w:rsid w:val="00FD34C7"/>
    <w:rsid w:val="00FD3AC5"/>
    <w:rsid w:val="00FD3BCF"/>
    <w:rsid w:val="00FD4328"/>
    <w:rsid w:val="00FD613D"/>
    <w:rsid w:val="00FD63E2"/>
    <w:rsid w:val="00FD6402"/>
    <w:rsid w:val="00FD649A"/>
    <w:rsid w:val="00FD6559"/>
    <w:rsid w:val="00FD65B7"/>
    <w:rsid w:val="00FD685B"/>
    <w:rsid w:val="00FD6A23"/>
    <w:rsid w:val="00FD6A49"/>
    <w:rsid w:val="00FD6A7B"/>
    <w:rsid w:val="00FD6C7A"/>
    <w:rsid w:val="00FD71D0"/>
    <w:rsid w:val="00FD7244"/>
    <w:rsid w:val="00FD726F"/>
    <w:rsid w:val="00FD72C7"/>
    <w:rsid w:val="00FD7407"/>
    <w:rsid w:val="00FD7EA4"/>
    <w:rsid w:val="00FD7F5C"/>
    <w:rsid w:val="00FE0111"/>
    <w:rsid w:val="00FE031D"/>
    <w:rsid w:val="00FE056F"/>
    <w:rsid w:val="00FE0998"/>
    <w:rsid w:val="00FE0B63"/>
    <w:rsid w:val="00FE1081"/>
    <w:rsid w:val="00FE10CC"/>
    <w:rsid w:val="00FE190B"/>
    <w:rsid w:val="00FE19CC"/>
    <w:rsid w:val="00FE2627"/>
    <w:rsid w:val="00FE2AF5"/>
    <w:rsid w:val="00FE2FFF"/>
    <w:rsid w:val="00FE340D"/>
    <w:rsid w:val="00FE346A"/>
    <w:rsid w:val="00FE3C65"/>
    <w:rsid w:val="00FE4205"/>
    <w:rsid w:val="00FE492F"/>
    <w:rsid w:val="00FE500B"/>
    <w:rsid w:val="00FE5449"/>
    <w:rsid w:val="00FE5AC9"/>
    <w:rsid w:val="00FE5BE2"/>
    <w:rsid w:val="00FE5C16"/>
    <w:rsid w:val="00FE5FD5"/>
    <w:rsid w:val="00FE606B"/>
    <w:rsid w:val="00FE60E4"/>
    <w:rsid w:val="00FE6249"/>
    <w:rsid w:val="00FE66A8"/>
    <w:rsid w:val="00FE66CF"/>
    <w:rsid w:val="00FE66D0"/>
    <w:rsid w:val="00FE69C9"/>
    <w:rsid w:val="00FE703F"/>
    <w:rsid w:val="00FE7664"/>
    <w:rsid w:val="00FE7687"/>
    <w:rsid w:val="00FE76FD"/>
    <w:rsid w:val="00FE7E48"/>
    <w:rsid w:val="00FF0A1F"/>
    <w:rsid w:val="00FF10B8"/>
    <w:rsid w:val="00FF111B"/>
    <w:rsid w:val="00FF1478"/>
    <w:rsid w:val="00FF156C"/>
    <w:rsid w:val="00FF1922"/>
    <w:rsid w:val="00FF1B01"/>
    <w:rsid w:val="00FF1CE0"/>
    <w:rsid w:val="00FF2147"/>
    <w:rsid w:val="00FF24A1"/>
    <w:rsid w:val="00FF2A3C"/>
    <w:rsid w:val="00FF2AAE"/>
    <w:rsid w:val="00FF2BF4"/>
    <w:rsid w:val="00FF3176"/>
    <w:rsid w:val="00FF3563"/>
    <w:rsid w:val="00FF3B2E"/>
    <w:rsid w:val="00FF3E37"/>
    <w:rsid w:val="00FF3FAE"/>
    <w:rsid w:val="00FF4093"/>
    <w:rsid w:val="00FF4FF2"/>
    <w:rsid w:val="00FF510C"/>
    <w:rsid w:val="00FF5759"/>
    <w:rsid w:val="00FF57D0"/>
    <w:rsid w:val="00FF5DEA"/>
    <w:rsid w:val="00FF6172"/>
    <w:rsid w:val="00FF62D6"/>
    <w:rsid w:val="00FF685E"/>
    <w:rsid w:val="00FF699F"/>
    <w:rsid w:val="00FF6D14"/>
    <w:rsid w:val="00FF71FD"/>
    <w:rsid w:val="00FF7C0B"/>
    <w:rsid w:val="1CA2B25C"/>
    <w:rsid w:val="34A40213"/>
    <w:rsid w:val="454D4CB9"/>
    <w:rsid w:val="473DBC6E"/>
    <w:rsid w:val="55FE864D"/>
    <w:rsid w:val="7592C6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31C055"/>
  <w15:chartTrackingRefBased/>
  <w15:docId w15:val="{EBD0C05E-B793-4595-A373-E3A1D2A3A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2E2"/>
  </w:style>
  <w:style w:type="paragraph" w:styleId="Heading1">
    <w:name w:val="heading 1"/>
    <w:basedOn w:val="Normal"/>
    <w:next w:val="Normal"/>
    <w:link w:val="Heading1Char"/>
    <w:uiPriority w:val="9"/>
    <w:qFormat/>
    <w:rsid w:val="00A632E2"/>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A632E2"/>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A632E2"/>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A632E2"/>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A632E2"/>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A632E2"/>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A632E2"/>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A632E2"/>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A632E2"/>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34221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42216"/>
    <w:rPr>
      <w:sz w:val="20"/>
      <w:szCs w:val="20"/>
    </w:rPr>
  </w:style>
  <w:style w:type="character" w:styleId="FootnoteReference">
    <w:name w:val="footnote reference"/>
    <w:basedOn w:val="DefaultParagraphFont"/>
    <w:uiPriority w:val="99"/>
    <w:semiHidden/>
    <w:unhideWhenUsed/>
    <w:rsid w:val="00342216"/>
    <w:rPr>
      <w:vertAlign w:val="superscript"/>
    </w:rPr>
  </w:style>
  <w:style w:type="paragraph" w:styleId="BalloonText">
    <w:name w:val="Balloon Text"/>
    <w:basedOn w:val="Normal"/>
    <w:link w:val="BalloonTextChar"/>
    <w:uiPriority w:val="99"/>
    <w:semiHidden/>
    <w:unhideWhenUsed/>
    <w:rsid w:val="00E421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2155"/>
    <w:rPr>
      <w:rFonts w:ascii="Segoe UI" w:hAnsi="Segoe UI" w:cs="Segoe UI"/>
      <w:sz w:val="18"/>
      <w:szCs w:val="18"/>
    </w:rPr>
  </w:style>
  <w:style w:type="paragraph" w:styleId="Subtitle">
    <w:name w:val="Subtitle"/>
    <w:basedOn w:val="Normal"/>
    <w:next w:val="Normal"/>
    <w:link w:val="SubtitleChar"/>
    <w:uiPriority w:val="11"/>
    <w:qFormat/>
    <w:rsid w:val="00A632E2"/>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A632E2"/>
    <w:rPr>
      <w:rFonts w:asciiTheme="majorHAnsi" w:eastAsiaTheme="majorEastAsia" w:hAnsiTheme="majorHAnsi" w:cstheme="majorBidi"/>
      <w:sz w:val="24"/>
      <w:szCs w:val="24"/>
    </w:rPr>
  </w:style>
  <w:style w:type="paragraph" w:styleId="Header">
    <w:name w:val="header"/>
    <w:basedOn w:val="Normal"/>
    <w:link w:val="HeaderChar"/>
    <w:uiPriority w:val="99"/>
    <w:unhideWhenUsed/>
    <w:rsid w:val="001A34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347C"/>
  </w:style>
  <w:style w:type="paragraph" w:styleId="Footer">
    <w:name w:val="footer"/>
    <w:basedOn w:val="Normal"/>
    <w:link w:val="FooterChar"/>
    <w:uiPriority w:val="99"/>
    <w:unhideWhenUsed/>
    <w:rsid w:val="001A34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347C"/>
  </w:style>
  <w:style w:type="table" w:styleId="TableGrid">
    <w:name w:val="Table Grid"/>
    <w:basedOn w:val="TableNormal"/>
    <w:uiPriority w:val="39"/>
    <w:rsid w:val="003746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632E2"/>
    <w:rPr>
      <w:rFonts w:asciiTheme="majorHAnsi" w:eastAsiaTheme="majorEastAsia" w:hAnsiTheme="majorHAnsi" w:cstheme="majorBidi"/>
      <w:b/>
      <w:bCs/>
      <w:caps/>
      <w:spacing w:val="4"/>
      <w:sz w:val="28"/>
      <w:szCs w:val="28"/>
    </w:rPr>
  </w:style>
  <w:style w:type="paragraph" w:styleId="ListParagraph">
    <w:name w:val="List Paragraph"/>
    <w:aliases w:val="Bullets,Numbered List Paragraph,NumberedParas,Akapit z listą BS,List Paragraph 1,List_Paragraph,Multilevel para_II,List Paragraph1,List Paragraph (numbered (a)),Numbered list,Forth level,Bullet1,List Bullet Mary,References,ANNEX,Celula"/>
    <w:basedOn w:val="Normal"/>
    <w:link w:val="ListParagraphChar"/>
    <w:uiPriority w:val="34"/>
    <w:qFormat/>
    <w:rsid w:val="005F0220"/>
    <w:pPr>
      <w:ind w:left="720"/>
      <w:contextualSpacing/>
    </w:pPr>
  </w:style>
  <w:style w:type="character" w:styleId="CommentReference">
    <w:name w:val="annotation reference"/>
    <w:basedOn w:val="DefaultParagraphFont"/>
    <w:uiPriority w:val="99"/>
    <w:semiHidden/>
    <w:unhideWhenUsed/>
    <w:rsid w:val="00A424CD"/>
    <w:rPr>
      <w:sz w:val="16"/>
      <w:szCs w:val="16"/>
    </w:rPr>
  </w:style>
  <w:style w:type="paragraph" w:styleId="CommentText">
    <w:name w:val="annotation text"/>
    <w:basedOn w:val="Normal"/>
    <w:link w:val="CommentTextChar"/>
    <w:uiPriority w:val="99"/>
    <w:unhideWhenUsed/>
    <w:rsid w:val="00A424CD"/>
    <w:pPr>
      <w:spacing w:line="240" w:lineRule="auto"/>
    </w:pPr>
    <w:rPr>
      <w:sz w:val="20"/>
      <w:szCs w:val="20"/>
    </w:rPr>
  </w:style>
  <w:style w:type="character" w:customStyle="1" w:styleId="CommentTextChar">
    <w:name w:val="Comment Text Char"/>
    <w:basedOn w:val="DefaultParagraphFont"/>
    <w:link w:val="CommentText"/>
    <w:uiPriority w:val="99"/>
    <w:rsid w:val="00A424CD"/>
    <w:rPr>
      <w:sz w:val="20"/>
      <w:szCs w:val="20"/>
    </w:rPr>
  </w:style>
  <w:style w:type="paragraph" w:styleId="CommentSubject">
    <w:name w:val="annotation subject"/>
    <w:basedOn w:val="CommentText"/>
    <w:next w:val="CommentText"/>
    <w:link w:val="CommentSubjectChar"/>
    <w:uiPriority w:val="99"/>
    <w:semiHidden/>
    <w:unhideWhenUsed/>
    <w:rsid w:val="00A424CD"/>
    <w:rPr>
      <w:b/>
      <w:bCs/>
    </w:rPr>
  </w:style>
  <w:style w:type="character" w:customStyle="1" w:styleId="CommentSubjectChar">
    <w:name w:val="Comment Subject Char"/>
    <w:basedOn w:val="CommentTextChar"/>
    <w:link w:val="CommentSubject"/>
    <w:uiPriority w:val="99"/>
    <w:semiHidden/>
    <w:rsid w:val="00A424CD"/>
    <w:rPr>
      <w:b/>
      <w:bCs/>
      <w:sz w:val="20"/>
      <w:szCs w:val="20"/>
    </w:rPr>
  </w:style>
  <w:style w:type="paragraph" w:styleId="NormalWeb">
    <w:name w:val="Normal (Web)"/>
    <w:basedOn w:val="Normal"/>
    <w:uiPriority w:val="99"/>
    <w:unhideWhenUsed/>
    <w:rsid w:val="006A2731"/>
    <w:pPr>
      <w:spacing w:before="100" w:beforeAutospacing="1" w:after="100" w:afterAutospacing="1" w:line="240" w:lineRule="auto"/>
    </w:pPr>
    <w:rPr>
      <w:rFonts w:ascii="Times New Roman" w:hAnsi="Times New Roman" w:cs="Times New Roman"/>
      <w:sz w:val="20"/>
      <w:szCs w:val="24"/>
      <w:lang w:eastAsia="en-GB"/>
    </w:rPr>
  </w:style>
  <w:style w:type="paragraph" w:styleId="Caption">
    <w:name w:val="caption"/>
    <w:aliases w:val="Table title,Figure Head,quarterly chart caption,quarterly chart caption Char Char,Caption Char Char Char,Caption1 Char,Caption1,WB Caption,Caption Char1,Caption Char Char,Caption Char1 Char Char,Caption Char1 Char Char Char Char"/>
    <w:basedOn w:val="Normal"/>
    <w:next w:val="Normal"/>
    <w:link w:val="CaptionChar"/>
    <w:uiPriority w:val="35"/>
    <w:unhideWhenUsed/>
    <w:qFormat/>
    <w:rsid w:val="00A632E2"/>
    <w:rPr>
      <w:b/>
      <w:bCs/>
      <w:sz w:val="18"/>
      <w:szCs w:val="18"/>
    </w:rPr>
  </w:style>
  <w:style w:type="character" w:customStyle="1" w:styleId="CaptionChar">
    <w:name w:val="Caption Char"/>
    <w:aliases w:val="Table title Char,Figure Head Char,quarterly chart caption Char,quarterly chart caption Char Char Char,Caption Char Char Char Char,Caption1 Char Char,Caption1 Char1,WB Caption Char,Caption Char1 Char,Caption Char Char Char1"/>
    <w:link w:val="Caption"/>
    <w:uiPriority w:val="35"/>
    <w:rsid w:val="006A2731"/>
    <w:rPr>
      <w:b/>
      <w:bCs/>
      <w:sz w:val="18"/>
      <w:szCs w:val="18"/>
    </w:rPr>
  </w:style>
  <w:style w:type="paragraph" w:customStyle="1" w:styleId="Figure">
    <w:name w:val="Figure"/>
    <w:basedOn w:val="Normal"/>
    <w:link w:val="FigureCar"/>
    <w:rsid w:val="006A2731"/>
    <w:pPr>
      <w:spacing w:line="259" w:lineRule="auto"/>
    </w:pPr>
    <w:rPr>
      <w:rFonts w:ascii="Verdana" w:hAnsi="Verdana" w:cstheme="minorHAnsi"/>
      <w:color w:val="44546A" w:themeColor="text2"/>
      <w:sz w:val="20"/>
      <w:szCs w:val="20"/>
      <w:lang w:eastAsia="ja-JP" w:bidi="en-US"/>
    </w:rPr>
  </w:style>
  <w:style w:type="character" w:customStyle="1" w:styleId="FigureCar">
    <w:name w:val="Figure Car"/>
    <w:basedOn w:val="DefaultParagraphFont"/>
    <w:link w:val="Figure"/>
    <w:rsid w:val="006A2731"/>
    <w:rPr>
      <w:rFonts w:ascii="Verdana" w:hAnsi="Verdana" w:cstheme="minorHAnsi"/>
      <w:color w:val="44546A" w:themeColor="text2"/>
      <w:sz w:val="20"/>
      <w:szCs w:val="20"/>
      <w:lang w:eastAsia="ja-JP" w:bidi="en-US"/>
    </w:rPr>
  </w:style>
  <w:style w:type="table" w:styleId="ListTable2-Accent3">
    <w:name w:val="List Table 2 Accent 3"/>
    <w:basedOn w:val="TableNormal"/>
    <w:uiPriority w:val="47"/>
    <w:rsid w:val="006A2731"/>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CE3885"/>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4B416B"/>
    <w:pPr>
      <w:spacing w:after="0" w:line="240" w:lineRule="auto"/>
    </w:pPr>
  </w:style>
  <w:style w:type="character" w:styleId="UnresolvedMention">
    <w:name w:val="Unresolved Mention"/>
    <w:basedOn w:val="DefaultParagraphFont"/>
    <w:uiPriority w:val="99"/>
    <w:unhideWhenUsed/>
    <w:rsid w:val="009F78C3"/>
    <w:rPr>
      <w:color w:val="605E5C"/>
      <w:shd w:val="clear" w:color="auto" w:fill="E1DFDD"/>
    </w:rPr>
  </w:style>
  <w:style w:type="character" w:styleId="Mention">
    <w:name w:val="Mention"/>
    <w:basedOn w:val="DefaultParagraphFont"/>
    <w:uiPriority w:val="99"/>
    <w:unhideWhenUsed/>
    <w:rsid w:val="009F78C3"/>
    <w:rPr>
      <w:color w:val="2B579A"/>
      <w:shd w:val="clear" w:color="auto" w:fill="E1DFDD"/>
    </w:rPr>
  </w:style>
  <w:style w:type="character" w:customStyle="1" w:styleId="ListParagraphChar">
    <w:name w:val="List Paragraph Char"/>
    <w:aliases w:val="Bullets Char,Numbered List Paragraph Char,NumberedParas Char,Akapit z listą BS Char,List Paragraph 1 Char,List_Paragraph Char,Multilevel para_II Char,List Paragraph1 Char,List Paragraph (numbered (a)) Char,Numbered list Char"/>
    <w:basedOn w:val="DefaultParagraphFont"/>
    <w:link w:val="ListParagraph"/>
    <w:uiPriority w:val="34"/>
    <w:locked/>
    <w:rsid w:val="006F60A3"/>
  </w:style>
  <w:style w:type="character" w:customStyle="1" w:styleId="Heading2Char">
    <w:name w:val="Heading 2 Char"/>
    <w:basedOn w:val="DefaultParagraphFont"/>
    <w:link w:val="Heading2"/>
    <w:uiPriority w:val="9"/>
    <w:rsid w:val="00A632E2"/>
    <w:rPr>
      <w:rFonts w:asciiTheme="majorHAnsi" w:eastAsiaTheme="majorEastAsia" w:hAnsiTheme="majorHAnsi" w:cstheme="majorBidi"/>
      <w:b/>
      <w:bCs/>
      <w:sz w:val="28"/>
      <w:szCs w:val="28"/>
    </w:rPr>
  </w:style>
  <w:style w:type="character" w:customStyle="1" w:styleId="Heading3Char">
    <w:name w:val="Heading 3 Char"/>
    <w:basedOn w:val="DefaultParagraphFont"/>
    <w:link w:val="Heading3"/>
    <w:uiPriority w:val="9"/>
    <w:rsid w:val="00A632E2"/>
    <w:rPr>
      <w:rFonts w:asciiTheme="majorHAnsi" w:eastAsiaTheme="majorEastAsia" w:hAnsiTheme="majorHAnsi" w:cstheme="majorBidi"/>
      <w:spacing w:val="4"/>
      <w:sz w:val="24"/>
      <w:szCs w:val="24"/>
    </w:rPr>
  </w:style>
  <w:style w:type="paragraph" w:styleId="TOCHeading">
    <w:name w:val="TOC Heading"/>
    <w:basedOn w:val="Heading1"/>
    <w:next w:val="Normal"/>
    <w:uiPriority w:val="39"/>
    <w:unhideWhenUsed/>
    <w:qFormat/>
    <w:rsid w:val="00A632E2"/>
    <w:pPr>
      <w:outlineLvl w:val="9"/>
    </w:pPr>
  </w:style>
  <w:style w:type="paragraph" w:styleId="TOC1">
    <w:name w:val="toc 1"/>
    <w:basedOn w:val="Normal"/>
    <w:next w:val="Normal"/>
    <w:autoRedefine/>
    <w:uiPriority w:val="39"/>
    <w:unhideWhenUsed/>
    <w:rsid w:val="00373463"/>
    <w:pPr>
      <w:spacing w:after="100"/>
    </w:pPr>
  </w:style>
  <w:style w:type="paragraph" w:styleId="TOC2">
    <w:name w:val="toc 2"/>
    <w:basedOn w:val="Normal"/>
    <w:next w:val="Normal"/>
    <w:autoRedefine/>
    <w:uiPriority w:val="39"/>
    <w:unhideWhenUsed/>
    <w:rsid w:val="000E662E"/>
    <w:pPr>
      <w:tabs>
        <w:tab w:val="right" w:leader="dot" w:pos="9350"/>
      </w:tabs>
      <w:spacing w:after="100"/>
      <w:ind w:left="220"/>
    </w:pPr>
  </w:style>
  <w:style w:type="paragraph" w:styleId="TOC3">
    <w:name w:val="toc 3"/>
    <w:basedOn w:val="Normal"/>
    <w:next w:val="Normal"/>
    <w:autoRedefine/>
    <w:uiPriority w:val="39"/>
    <w:unhideWhenUsed/>
    <w:rsid w:val="00373463"/>
    <w:pPr>
      <w:spacing w:after="100"/>
      <w:ind w:left="440"/>
    </w:pPr>
  </w:style>
  <w:style w:type="character" w:styleId="Hyperlink">
    <w:name w:val="Hyperlink"/>
    <w:basedOn w:val="DefaultParagraphFont"/>
    <w:uiPriority w:val="99"/>
    <w:unhideWhenUsed/>
    <w:rsid w:val="00373463"/>
    <w:rPr>
      <w:color w:val="0563C1" w:themeColor="hyperlink"/>
      <w:u w:val="single"/>
    </w:rPr>
  </w:style>
  <w:style w:type="character" w:customStyle="1" w:styleId="shareable-quote">
    <w:name w:val="shareable-quote"/>
    <w:basedOn w:val="DefaultParagraphFont"/>
    <w:rsid w:val="00DF5446"/>
  </w:style>
  <w:style w:type="paragraph" w:styleId="Title">
    <w:name w:val="Title"/>
    <w:basedOn w:val="Normal"/>
    <w:next w:val="Normal"/>
    <w:link w:val="TitleChar"/>
    <w:uiPriority w:val="10"/>
    <w:qFormat/>
    <w:rsid w:val="00ED1989"/>
    <w:pPr>
      <w:spacing w:after="0" w:line="240" w:lineRule="auto"/>
      <w:contextualSpacing/>
      <w:jc w:val="center"/>
    </w:pPr>
    <w:rPr>
      <w:rFonts w:asciiTheme="majorHAnsi" w:eastAsiaTheme="majorEastAsia" w:hAnsiTheme="majorHAnsi" w:cstheme="majorBidi"/>
      <w:b/>
      <w:bCs/>
      <w:caps/>
      <w:spacing w:val="-7"/>
      <w:sz w:val="48"/>
      <w:szCs w:val="48"/>
    </w:rPr>
  </w:style>
  <w:style w:type="character" w:customStyle="1" w:styleId="TitleChar">
    <w:name w:val="Title Char"/>
    <w:basedOn w:val="DefaultParagraphFont"/>
    <w:link w:val="Title"/>
    <w:uiPriority w:val="10"/>
    <w:rsid w:val="00ED1989"/>
    <w:rPr>
      <w:rFonts w:asciiTheme="majorHAnsi" w:eastAsiaTheme="majorEastAsia" w:hAnsiTheme="majorHAnsi" w:cstheme="majorBidi"/>
      <w:b/>
      <w:bCs/>
      <w:caps/>
      <w:spacing w:val="-7"/>
      <w:sz w:val="48"/>
      <w:szCs w:val="48"/>
    </w:rPr>
  </w:style>
  <w:style w:type="character" w:customStyle="1" w:styleId="Heading4Char">
    <w:name w:val="Heading 4 Char"/>
    <w:basedOn w:val="DefaultParagraphFont"/>
    <w:link w:val="Heading4"/>
    <w:uiPriority w:val="9"/>
    <w:semiHidden/>
    <w:rsid w:val="00A632E2"/>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A632E2"/>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A632E2"/>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A632E2"/>
    <w:rPr>
      <w:i/>
      <w:iCs/>
    </w:rPr>
  </w:style>
  <w:style w:type="character" w:customStyle="1" w:styleId="Heading8Char">
    <w:name w:val="Heading 8 Char"/>
    <w:basedOn w:val="DefaultParagraphFont"/>
    <w:link w:val="Heading8"/>
    <w:uiPriority w:val="9"/>
    <w:semiHidden/>
    <w:rsid w:val="00A632E2"/>
    <w:rPr>
      <w:b/>
      <w:bCs/>
    </w:rPr>
  </w:style>
  <w:style w:type="character" w:customStyle="1" w:styleId="Heading9Char">
    <w:name w:val="Heading 9 Char"/>
    <w:basedOn w:val="DefaultParagraphFont"/>
    <w:link w:val="Heading9"/>
    <w:uiPriority w:val="9"/>
    <w:semiHidden/>
    <w:rsid w:val="00A632E2"/>
    <w:rPr>
      <w:i/>
      <w:iCs/>
    </w:rPr>
  </w:style>
  <w:style w:type="character" w:styleId="Strong">
    <w:name w:val="Strong"/>
    <w:basedOn w:val="DefaultParagraphFont"/>
    <w:uiPriority w:val="22"/>
    <w:qFormat/>
    <w:rsid w:val="00A632E2"/>
    <w:rPr>
      <w:b/>
      <w:bCs/>
      <w:color w:val="auto"/>
    </w:rPr>
  </w:style>
  <w:style w:type="character" w:styleId="Emphasis">
    <w:name w:val="Emphasis"/>
    <w:basedOn w:val="DefaultParagraphFont"/>
    <w:uiPriority w:val="20"/>
    <w:qFormat/>
    <w:rsid w:val="00A632E2"/>
    <w:rPr>
      <w:i/>
      <w:iCs/>
      <w:color w:val="auto"/>
    </w:rPr>
  </w:style>
  <w:style w:type="paragraph" w:styleId="NoSpacing">
    <w:name w:val="No Spacing"/>
    <w:uiPriority w:val="1"/>
    <w:qFormat/>
    <w:rsid w:val="00A632E2"/>
    <w:pPr>
      <w:spacing w:after="0" w:line="240" w:lineRule="auto"/>
    </w:pPr>
  </w:style>
  <w:style w:type="paragraph" w:styleId="Quote">
    <w:name w:val="Quote"/>
    <w:basedOn w:val="Normal"/>
    <w:next w:val="Normal"/>
    <w:link w:val="QuoteChar"/>
    <w:uiPriority w:val="29"/>
    <w:qFormat/>
    <w:rsid w:val="00A632E2"/>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A632E2"/>
    <w:rPr>
      <w:rFonts w:asciiTheme="majorHAnsi" w:eastAsiaTheme="majorEastAsia" w:hAnsiTheme="majorHAnsi" w:cstheme="majorBidi"/>
      <w:i/>
      <w:iCs/>
      <w:sz w:val="24"/>
      <w:szCs w:val="24"/>
    </w:rPr>
  </w:style>
  <w:style w:type="paragraph" w:styleId="IntenseQuote">
    <w:name w:val="Intense Quote"/>
    <w:basedOn w:val="Normal"/>
    <w:next w:val="Normal"/>
    <w:link w:val="IntenseQuoteChar"/>
    <w:uiPriority w:val="30"/>
    <w:qFormat/>
    <w:rsid w:val="00A632E2"/>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A632E2"/>
    <w:rPr>
      <w:rFonts w:asciiTheme="majorHAnsi" w:eastAsiaTheme="majorEastAsia" w:hAnsiTheme="majorHAnsi" w:cstheme="majorBidi"/>
      <w:sz w:val="26"/>
      <w:szCs w:val="26"/>
    </w:rPr>
  </w:style>
  <w:style w:type="character" w:styleId="SubtleEmphasis">
    <w:name w:val="Subtle Emphasis"/>
    <w:basedOn w:val="DefaultParagraphFont"/>
    <w:uiPriority w:val="19"/>
    <w:qFormat/>
    <w:rsid w:val="00A632E2"/>
    <w:rPr>
      <w:i/>
      <w:iCs/>
      <w:color w:val="auto"/>
    </w:rPr>
  </w:style>
  <w:style w:type="character" w:styleId="IntenseEmphasis">
    <w:name w:val="Intense Emphasis"/>
    <w:basedOn w:val="DefaultParagraphFont"/>
    <w:uiPriority w:val="21"/>
    <w:qFormat/>
    <w:rsid w:val="00A632E2"/>
    <w:rPr>
      <w:b/>
      <w:bCs/>
      <w:i/>
      <w:iCs/>
      <w:color w:val="auto"/>
    </w:rPr>
  </w:style>
  <w:style w:type="character" w:styleId="SubtleReference">
    <w:name w:val="Subtle Reference"/>
    <w:basedOn w:val="DefaultParagraphFont"/>
    <w:uiPriority w:val="31"/>
    <w:qFormat/>
    <w:rsid w:val="00A632E2"/>
    <w:rPr>
      <w:smallCaps/>
      <w:color w:val="auto"/>
      <w:u w:val="single" w:color="7F7F7F" w:themeColor="text1" w:themeTint="80"/>
    </w:rPr>
  </w:style>
  <w:style w:type="character" w:styleId="IntenseReference">
    <w:name w:val="Intense Reference"/>
    <w:basedOn w:val="DefaultParagraphFont"/>
    <w:uiPriority w:val="32"/>
    <w:qFormat/>
    <w:rsid w:val="00A632E2"/>
    <w:rPr>
      <w:b/>
      <w:bCs/>
      <w:smallCaps/>
      <w:color w:val="auto"/>
      <w:u w:val="single"/>
    </w:rPr>
  </w:style>
  <w:style w:type="character" w:styleId="BookTitle">
    <w:name w:val="Book Title"/>
    <w:basedOn w:val="DefaultParagraphFont"/>
    <w:uiPriority w:val="33"/>
    <w:qFormat/>
    <w:rsid w:val="00A632E2"/>
    <w:rPr>
      <w:b/>
      <w:bCs/>
      <w:smallCap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384293">
      <w:bodyDiv w:val="1"/>
      <w:marLeft w:val="0"/>
      <w:marRight w:val="0"/>
      <w:marTop w:val="0"/>
      <w:marBottom w:val="0"/>
      <w:divBdr>
        <w:top w:val="none" w:sz="0" w:space="0" w:color="auto"/>
        <w:left w:val="none" w:sz="0" w:space="0" w:color="auto"/>
        <w:bottom w:val="none" w:sz="0" w:space="0" w:color="auto"/>
        <w:right w:val="none" w:sz="0" w:space="0" w:color="auto"/>
      </w:divBdr>
    </w:div>
    <w:div w:id="120661521">
      <w:bodyDiv w:val="1"/>
      <w:marLeft w:val="0"/>
      <w:marRight w:val="0"/>
      <w:marTop w:val="0"/>
      <w:marBottom w:val="0"/>
      <w:divBdr>
        <w:top w:val="none" w:sz="0" w:space="0" w:color="auto"/>
        <w:left w:val="none" w:sz="0" w:space="0" w:color="auto"/>
        <w:bottom w:val="none" w:sz="0" w:space="0" w:color="auto"/>
        <w:right w:val="none" w:sz="0" w:space="0" w:color="auto"/>
      </w:divBdr>
    </w:div>
    <w:div w:id="138420751">
      <w:bodyDiv w:val="1"/>
      <w:marLeft w:val="0"/>
      <w:marRight w:val="0"/>
      <w:marTop w:val="0"/>
      <w:marBottom w:val="0"/>
      <w:divBdr>
        <w:top w:val="none" w:sz="0" w:space="0" w:color="auto"/>
        <w:left w:val="none" w:sz="0" w:space="0" w:color="auto"/>
        <w:bottom w:val="none" w:sz="0" w:space="0" w:color="auto"/>
        <w:right w:val="none" w:sz="0" w:space="0" w:color="auto"/>
      </w:divBdr>
    </w:div>
    <w:div w:id="168444364">
      <w:bodyDiv w:val="1"/>
      <w:marLeft w:val="0"/>
      <w:marRight w:val="0"/>
      <w:marTop w:val="0"/>
      <w:marBottom w:val="0"/>
      <w:divBdr>
        <w:top w:val="none" w:sz="0" w:space="0" w:color="auto"/>
        <w:left w:val="none" w:sz="0" w:space="0" w:color="auto"/>
        <w:bottom w:val="none" w:sz="0" w:space="0" w:color="auto"/>
        <w:right w:val="none" w:sz="0" w:space="0" w:color="auto"/>
      </w:divBdr>
    </w:div>
    <w:div w:id="175509142">
      <w:bodyDiv w:val="1"/>
      <w:marLeft w:val="0"/>
      <w:marRight w:val="0"/>
      <w:marTop w:val="0"/>
      <w:marBottom w:val="0"/>
      <w:divBdr>
        <w:top w:val="none" w:sz="0" w:space="0" w:color="auto"/>
        <w:left w:val="none" w:sz="0" w:space="0" w:color="auto"/>
        <w:bottom w:val="none" w:sz="0" w:space="0" w:color="auto"/>
        <w:right w:val="none" w:sz="0" w:space="0" w:color="auto"/>
      </w:divBdr>
    </w:div>
    <w:div w:id="182746267">
      <w:bodyDiv w:val="1"/>
      <w:marLeft w:val="0"/>
      <w:marRight w:val="0"/>
      <w:marTop w:val="0"/>
      <w:marBottom w:val="0"/>
      <w:divBdr>
        <w:top w:val="none" w:sz="0" w:space="0" w:color="auto"/>
        <w:left w:val="none" w:sz="0" w:space="0" w:color="auto"/>
        <w:bottom w:val="none" w:sz="0" w:space="0" w:color="auto"/>
        <w:right w:val="none" w:sz="0" w:space="0" w:color="auto"/>
      </w:divBdr>
    </w:div>
    <w:div w:id="227110570">
      <w:bodyDiv w:val="1"/>
      <w:marLeft w:val="0"/>
      <w:marRight w:val="0"/>
      <w:marTop w:val="0"/>
      <w:marBottom w:val="0"/>
      <w:divBdr>
        <w:top w:val="none" w:sz="0" w:space="0" w:color="auto"/>
        <w:left w:val="none" w:sz="0" w:space="0" w:color="auto"/>
        <w:bottom w:val="none" w:sz="0" w:space="0" w:color="auto"/>
        <w:right w:val="none" w:sz="0" w:space="0" w:color="auto"/>
      </w:divBdr>
    </w:div>
    <w:div w:id="255673216">
      <w:bodyDiv w:val="1"/>
      <w:marLeft w:val="0"/>
      <w:marRight w:val="0"/>
      <w:marTop w:val="0"/>
      <w:marBottom w:val="0"/>
      <w:divBdr>
        <w:top w:val="none" w:sz="0" w:space="0" w:color="auto"/>
        <w:left w:val="none" w:sz="0" w:space="0" w:color="auto"/>
        <w:bottom w:val="none" w:sz="0" w:space="0" w:color="auto"/>
        <w:right w:val="none" w:sz="0" w:space="0" w:color="auto"/>
      </w:divBdr>
    </w:div>
    <w:div w:id="303513799">
      <w:bodyDiv w:val="1"/>
      <w:marLeft w:val="0"/>
      <w:marRight w:val="0"/>
      <w:marTop w:val="0"/>
      <w:marBottom w:val="0"/>
      <w:divBdr>
        <w:top w:val="none" w:sz="0" w:space="0" w:color="auto"/>
        <w:left w:val="none" w:sz="0" w:space="0" w:color="auto"/>
        <w:bottom w:val="none" w:sz="0" w:space="0" w:color="auto"/>
        <w:right w:val="none" w:sz="0" w:space="0" w:color="auto"/>
      </w:divBdr>
    </w:div>
    <w:div w:id="327556530">
      <w:bodyDiv w:val="1"/>
      <w:marLeft w:val="0"/>
      <w:marRight w:val="0"/>
      <w:marTop w:val="0"/>
      <w:marBottom w:val="0"/>
      <w:divBdr>
        <w:top w:val="none" w:sz="0" w:space="0" w:color="auto"/>
        <w:left w:val="none" w:sz="0" w:space="0" w:color="auto"/>
        <w:bottom w:val="none" w:sz="0" w:space="0" w:color="auto"/>
        <w:right w:val="none" w:sz="0" w:space="0" w:color="auto"/>
      </w:divBdr>
    </w:div>
    <w:div w:id="484977028">
      <w:bodyDiv w:val="1"/>
      <w:marLeft w:val="0"/>
      <w:marRight w:val="0"/>
      <w:marTop w:val="0"/>
      <w:marBottom w:val="0"/>
      <w:divBdr>
        <w:top w:val="none" w:sz="0" w:space="0" w:color="auto"/>
        <w:left w:val="none" w:sz="0" w:space="0" w:color="auto"/>
        <w:bottom w:val="none" w:sz="0" w:space="0" w:color="auto"/>
        <w:right w:val="none" w:sz="0" w:space="0" w:color="auto"/>
      </w:divBdr>
    </w:div>
    <w:div w:id="491719034">
      <w:bodyDiv w:val="1"/>
      <w:marLeft w:val="0"/>
      <w:marRight w:val="0"/>
      <w:marTop w:val="0"/>
      <w:marBottom w:val="0"/>
      <w:divBdr>
        <w:top w:val="none" w:sz="0" w:space="0" w:color="auto"/>
        <w:left w:val="none" w:sz="0" w:space="0" w:color="auto"/>
        <w:bottom w:val="none" w:sz="0" w:space="0" w:color="auto"/>
        <w:right w:val="none" w:sz="0" w:space="0" w:color="auto"/>
      </w:divBdr>
    </w:div>
    <w:div w:id="574707156">
      <w:bodyDiv w:val="1"/>
      <w:marLeft w:val="0"/>
      <w:marRight w:val="0"/>
      <w:marTop w:val="0"/>
      <w:marBottom w:val="0"/>
      <w:divBdr>
        <w:top w:val="none" w:sz="0" w:space="0" w:color="auto"/>
        <w:left w:val="none" w:sz="0" w:space="0" w:color="auto"/>
        <w:bottom w:val="none" w:sz="0" w:space="0" w:color="auto"/>
        <w:right w:val="none" w:sz="0" w:space="0" w:color="auto"/>
      </w:divBdr>
    </w:div>
    <w:div w:id="594902030">
      <w:bodyDiv w:val="1"/>
      <w:marLeft w:val="0"/>
      <w:marRight w:val="0"/>
      <w:marTop w:val="0"/>
      <w:marBottom w:val="0"/>
      <w:divBdr>
        <w:top w:val="none" w:sz="0" w:space="0" w:color="auto"/>
        <w:left w:val="none" w:sz="0" w:space="0" w:color="auto"/>
        <w:bottom w:val="none" w:sz="0" w:space="0" w:color="auto"/>
        <w:right w:val="none" w:sz="0" w:space="0" w:color="auto"/>
      </w:divBdr>
    </w:div>
    <w:div w:id="626008928">
      <w:bodyDiv w:val="1"/>
      <w:marLeft w:val="0"/>
      <w:marRight w:val="0"/>
      <w:marTop w:val="0"/>
      <w:marBottom w:val="0"/>
      <w:divBdr>
        <w:top w:val="none" w:sz="0" w:space="0" w:color="auto"/>
        <w:left w:val="none" w:sz="0" w:space="0" w:color="auto"/>
        <w:bottom w:val="none" w:sz="0" w:space="0" w:color="auto"/>
        <w:right w:val="none" w:sz="0" w:space="0" w:color="auto"/>
      </w:divBdr>
    </w:div>
    <w:div w:id="633363749">
      <w:bodyDiv w:val="1"/>
      <w:marLeft w:val="0"/>
      <w:marRight w:val="0"/>
      <w:marTop w:val="0"/>
      <w:marBottom w:val="0"/>
      <w:divBdr>
        <w:top w:val="none" w:sz="0" w:space="0" w:color="auto"/>
        <w:left w:val="none" w:sz="0" w:space="0" w:color="auto"/>
        <w:bottom w:val="none" w:sz="0" w:space="0" w:color="auto"/>
        <w:right w:val="none" w:sz="0" w:space="0" w:color="auto"/>
      </w:divBdr>
    </w:div>
    <w:div w:id="643973675">
      <w:bodyDiv w:val="1"/>
      <w:marLeft w:val="0"/>
      <w:marRight w:val="0"/>
      <w:marTop w:val="0"/>
      <w:marBottom w:val="0"/>
      <w:divBdr>
        <w:top w:val="none" w:sz="0" w:space="0" w:color="auto"/>
        <w:left w:val="none" w:sz="0" w:space="0" w:color="auto"/>
        <w:bottom w:val="none" w:sz="0" w:space="0" w:color="auto"/>
        <w:right w:val="none" w:sz="0" w:space="0" w:color="auto"/>
      </w:divBdr>
    </w:div>
    <w:div w:id="672341759">
      <w:bodyDiv w:val="1"/>
      <w:marLeft w:val="0"/>
      <w:marRight w:val="0"/>
      <w:marTop w:val="0"/>
      <w:marBottom w:val="0"/>
      <w:divBdr>
        <w:top w:val="none" w:sz="0" w:space="0" w:color="auto"/>
        <w:left w:val="none" w:sz="0" w:space="0" w:color="auto"/>
        <w:bottom w:val="none" w:sz="0" w:space="0" w:color="auto"/>
        <w:right w:val="none" w:sz="0" w:space="0" w:color="auto"/>
      </w:divBdr>
    </w:div>
    <w:div w:id="694580093">
      <w:bodyDiv w:val="1"/>
      <w:marLeft w:val="0"/>
      <w:marRight w:val="0"/>
      <w:marTop w:val="0"/>
      <w:marBottom w:val="0"/>
      <w:divBdr>
        <w:top w:val="none" w:sz="0" w:space="0" w:color="auto"/>
        <w:left w:val="none" w:sz="0" w:space="0" w:color="auto"/>
        <w:bottom w:val="none" w:sz="0" w:space="0" w:color="auto"/>
        <w:right w:val="none" w:sz="0" w:space="0" w:color="auto"/>
      </w:divBdr>
    </w:div>
    <w:div w:id="705447805">
      <w:bodyDiv w:val="1"/>
      <w:marLeft w:val="0"/>
      <w:marRight w:val="0"/>
      <w:marTop w:val="0"/>
      <w:marBottom w:val="0"/>
      <w:divBdr>
        <w:top w:val="none" w:sz="0" w:space="0" w:color="auto"/>
        <w:left w:val="none" w:sz="0" w:space="0" w:color="auto"/>
        <w:bottom w:val="none" w:sz="0" w:space="0" w:color="auto"/>
        <w:right w:val="none" w:sz="0" w:space="0" w:color="auto"/>
      </w:divBdr>
    </w:div>
    <w:div w:id="731847821">
      <w:bodyDiv w:val="1"/>
      <w:marLeft w:val="0"/>
      <w:marRight w:val="0"/>
      <w:marTop w:val="0"/>
      <w:marBottom w:val="0"/>
      <w:divBdr>
        <w:top w:val="none" w:sz="0" w:space="0" w:color="auto"/>
        <w:left w:val="none" w:sz="0" w:space="0" w:color="auto"/>
        <w:bottom w:val="none" w:sz="0" w:space="0" w:color="auto"/>
        <w:right w:val="none" w:sz="0" w:space="0" w:color="auto"/>
      </w:divBdr>
    </w:div>
    <w:div w:id="821116766">
      <w:bodyDiv w:val="1"/>
      <w:marLeft w:val="0"/>
      <w:marRight w:val="0"/>
      <w:marTop w:val="0"/>
      <w:marBottom w:val="0"/>
      <w:divBdr>
        <w:top w:val="none" w:sz="0" w:space="0" w:color="auto"/>
        <w:left w:val="none" w:sz="0" w:space="0" w:color="auto"/>
        <w:bottom w:val="none" w:sz="0" w:space="0" w:color="auto"/>
        <w:right w:val="none" w:sz="0" w:space="0" w:color="auto"/>
      </w:divBdr>
    </w:div>
    <w:div w:id="884173654">
      <w:bodyDiv w:val="1"/>
      <w:marLeft w:val="0"/>
      <w:marRight w:val="0"/>
      <w:marTop w:val="0"/>
      <w:marBottom w:val="0"/>
      <w:divBdr>
        <w:top w:val="none" w:sz="0" w:space="0" w:color="auto"/>
        <w:left w:val="none" w:sz="0" w:space="0" w:color="auto"/>
        <w:bottom w:val="none" w:sz="0" w:space="0" w:color="auto"/>
        <w:right w:val="none" w:sz="0" w:space="0" w:color="auto"/>
      </w:divBdr>
    </w:div>
    <w:div w:id="894854856">
      <w:bodyDiv w:val="1"/>
      <w:marLeft w:val="0"/>
      <w:marRight w:val="0"/>
      <w:marTop w:val="0"/>
      <w:marBottom w:val="0"/>
      <w:divBdr>
        <w:top w:val="none" w:sz="0" w:space="0" w:color="auto"/>
        <w:left w:val="none" w:sz="0" w:space="0" w:color="auto"/>
        <w:bottom w:val="none" w:sz="0" w:space="0" w:color="auto"/>
        <w:right w:val="none" w:sz="0" w:space="0" w:color="auto"/>
      </w:divBdr>
    </w:div>
    <w:div w:id="937131886">
      <w:bodyDiv w:val="1"/>
      <w:marLeft w:val="0"/>
      <w:marRight w:val="0"/>
      <w:marTop w:val="0"/>
      <w:marBottom w:val="0"/>
      <w:divBdr>
        <w:top w:val="none" w:sz="0" w:space="0" w:color="auto"/>
        <w:left w:val="none" w:sz="0" w:space="0" w:color="auto"/>
        <w:bottom w:val="none" w:sz="0" w:space="0" w:color="auto"/>
        <w:right w:val="none" w:sz="0" w:space="0" w:color="auto"/>
      </w:divBdr>
    </w:div>
    <w:div w:id="945693145">
      <w:bodyDiv w:val="1"/>
      <w:marLeft w:val="0"/>
      <w:marRight w:val="0"/>
      <w:marTop w:val="0"/>
      <w:marBottom w:val="0"/>
      <w:divBdr>
        <w:top w:val="none" w:sz="0" w:space="0" w:color="auto"/>
        <w:left w:val="none" w:sz="0" w:space="0" w:color="auto"/>
        <w:bottom w:val="none" w:sz="0" w:space="0" w:color="auto"/>
        <w:right w:val="none" w:sz="0" w:space="0" w:color="auto"/>
      </w:divBdr>
    </w:div>
    <w:div w:id="976763204">
      <w:bodyDiv w:val="1"/>
      <w:marLeft w:val="0"/>
      <w:marRight w:val="0"/>
      <w:marTop w:val="0"/>
      <w:marBottom w:val="0"/>
      <w:divBdr>
        <w:top w:val="none" w:sz="0" w:space="0" w:color="auto"/>
        <w:left w:val="none" w:sz="0" w:space="0" w:color="auto"/>
        <w:bottom w:val="none" w:sz="0" w:space="0" w:color="auto"/>
        <w:right w:val="none" w:sz="0" w:space="0" w:color="auto"/>
      </w:divBdr>
    </w:div>
    <w:div w:id="1036924937">
      <w:bodyDiv w:val="1"/>
      <w:marLeft w:val="0"/>
      <w:marRight w:val="0"/>
      <w:marTop w:val="0"/>
      <w:marBottom w:val="0"/>
      <w:divBdr>
        <w:top w:val="none" w:sz="0" w:space="0" w:color="auto"/>
        <w:left w:val="none" w:sz="0" w:space="0" w:color="auto"/>
        <w:bottom w:val="none" w:sz="0" w:space="0" w:color="auto"/>
        <w:right w:val="none" w:sz="0" w:space="0" w:color="auto"/>
      </w:divBdr>
    </w:div>
    <w:div w:id="1220215074">
      <w:bodyDiv w:val="1"/>
      <w:marLeft w:val="0"/>
      <w:marRight w:val="0"/>
      <w:marTop w:val="0"/>
      <w:marBottom w:val="0"/>
      <w:divBdr>
        <w:top w:val="none" w:sz="0" w:space="0" w:color="auto"/>
        <w:left w:val="none" w:sz="0" w:space="0" w:color="auto"/>
        <w:bottom w:val="none" w:sz="0" w:space="0" w:color="auto"/>
        <w:right w:val="none" w:sz="0" w:space="0" w:color="auto"/>
      </w:divBdr>
    </w:div>
    <w:div w:id="1254049726">
      <w:bodyDiv w:val="1"/>
      <w:marLeft w:val="0"/>
      <w:marRight w:val="0"/>
      <w:marTop w:val="0"/>
      <w:marBottom w:val="0"/>
      <w:divBdr>
        <w:top w:val="none" w:sz="0" w:space="0" w:color="auto"/>
        <w:left w:val="none" w:sz="0" w:space="0" w:color="auto"/>
        <w:bottom w:val="none" w:sz="0" w:space="0" w:color="auto"/>
        <w:right w:val="none" w:sz="0" w:space="0" w:color="auto"/>
      </w:divBdr>
    </w:div>
    <w:div w:id="1310481308">
      <w:bodyDiv w:val="1"/>
      <w:marLeft w:val="0"/>
      <w:marRight w:val="0"/>
      <w:marTop w:val="0"/>
      <w:marBottom w:val="0"/>
      <w:divBdr>
        <w:top w:val="none" w:sz="0" w:space="0" w:color="auto"/>
        <w:left w:val="none" w:sz="0" w:space="0" w:color="auto"/>
        <w:bottom w:val="none" w:sz="0" w:space="0" w:color="auto"/>
        <w:right w:val="none" w:sz="0" w:space="0" w:color="auto"/>
      </w:divBdr>
    </w:div>
    <w:div w:id="1331327197">
      <w:bodyDiv w:val="1"/>
      <w:marLeft w:val="0"/>
      <w:marRight w:val="0"/>
      <w:marTop w:val="0"/>
      <w:marBottom w:val="0"/>
      <w:divBdr>
        <w:top w:val="none" w:sz="0" w:space="0" w:color="auto"/>
        <w:left w:val="none" w:sz="0" w:space="0" w:color="auto"/>
        <w:bottom w:val="none" w:sz="0" w:space="0" w:color="auto"/>
        <w:right w:val="none" w:sz="0" w:space="0" w:color="auto"/>
      </w:divBdr>
    </w:div>
    <w:div w:id="1367826452">
      <w:bodyDiv w:val="1"/>
      <w:marLeft w:val="0"/>
      <w:marRight w:val="0"/>
      <w:marTop w:val="0"/>
      <w:marBottom w:val="0"/>
      <w:divBdr>
        <w:top w:val="none" w:sz="0" w:space="0" w:color="auto"/>
        <w:left w:val="none" w:sz="0" w:space="0" w:color="auto"/>
        <w:bottom w:val="none" w:sz="0" w:space="0" w:color="auto"/>
        <w:right w:val="none" w:sz="0" w:space="0" w:color="auto"/>
      </w:divBdr>
    </w:div>
    <w:div w:id="1441535986">
      <w:bodyDiv w:val="1"/>
      <w:marLeft w:val="0"/>
      <w:marRight w:val="0"/>
      <w:marTop w:val="0"/>
      <w:marBottom w:val="0"/>
      <w:divBdr>
        <w:top w:val="none" w:sz="0" w:space="0" w:color="auto"/>
        <w:left w:val="none" w:sz="0" w:space="0" w:color="auto"/>
        <w:bottom w:val="none" w:sz="0" w:space="0" w:color="auto"/>
        <w:right w:val="none" w:sz="0" w:space="0" w:color="auto"/>
      </w:divBdr>
    </w:div>
    <w:div w:id="1478499824">
      <w:bodyDiv w:val="1"/>
      <w:marLeft w:val="0"/>
      <w:marRight w:val="0"/>
      <w:marTop w:val="0"/>
      <w:marBottom w:val="0"/>
      <w:divBdr>
        <w:top w:val="none" w:sz="0" w:space="0" w:color="auto"/>
        <w:left w:val="none" w:sz="0" w:space="0" w:color="auto"/>
        <w:bottom w:val="none" w:sz="0" w:space="0" w:color="auto"/>
        <w:right w:val="none" w:sz="0" w:space="0" w:color="auto"/>
      </w:divBdr>
    </w:div>
    <w:div w:id="1485854592">
      <w:bodyDiv w:val="1"/>
      <w:marLeft w:val="0"/>
      <w:marRight w:val="0"/>
      <w:marTop w:val="0"/>
      <w:marBottom w:val="0"/>
      <w:divBdr>
        <w:top w:val="none" w:sz="0" w:space="0" w:color="auto"/>
        <w:left w:val="none" w:sz="0" w:space="0" w:color="auto"/>
        <w:bottom w:val="none" w:sz="0" w:space="0" w:color="auto"/>
        <w:right w:val="none" w:sz="0" w:space="0" w:color="auto"/>
      </w:divBdr>
    </w:div>
    <w:div w:id="1487089284">
      <w:bodyDiv w:val="1"/>
      <w:marLeft w:val="0"/>
      <w:marRight w:val="0"/>
      <w:marTop w:val="0"/>
      <w:marBottom w:val="0"/>
      <w:divBdr>
        <w:top w:val="none" w:sz="0" w:space="0" w:color="auto"/>
        <w:left w:val="none" w:sz="0" w:space="0" w:color="auto"/>
        <w:bottom w:val="none" w:sz="0" w:space="0" w:color="auto"/>
        <w:right w:val="none" w:sz="0" w:space="0" w:color="auto"/>
      </w:divBdr>
    </w:div>
    <w:div w:id="1532303508">
      <w:bodyDiv w:val="1"/>
      <w:marLeft w:val="0"/>
      <w:marRight w:val="0"/>
      <w:marTop w:val="0"/>
      <w:marBottom w:val="0"/>
      <w:divBdr>
        <w:top w:val="none" w:sz="0" w:space="0" w:color="auto"/>
        <w:left w:val="none" w:sz="0" w:space="0" w:color="auto"/>
        <w:bottom w:val="none" w:sz="0" w:space="0" w:color="auto"/>
        <w:right w:val="none" w:sz="0" w:space="0" w:color="auto"/>
      </w:divBdr>
    </w:div>
    <w:div w:id="1570992624">
      <w:bodyDiv w:val="1"/>
      <w:marLeft w:val="0"/>
      <w:marRight w:val="0"/>
      <w:marTop w:val="0"/>
      <w:marBottom w:val="0"/>
      <w:divBdr>
        <w:top w:val="none" w:sz="0" w:space="0" w:color="auto"/>
        <w:left w:val="none" w:sz="0" w:space="0" w:color="auto"/>
        <w:bottom w:val="none" w:sz="0" w:space="0" w:color="auto"/>
        <w:right w:val="none" w:sz="0" w:space="0" w:color="auto"/>
      </w:divBdr>
    </w:div>
    <w:div w:id="1577670034">
      <w:bodyDiv w:val="1"/>
      <w:marLeft w:val="0"/>
      <w:marRight w:val="0"/>
      <w:marTop w:val="0"/>
      <w:marBottom w:val="0"/>
      <w:divBdr>
        <w:top w:val="none" w:sz="0" w:space="0" w:color="auto"/>
        <w:left w:val="none" w:sz="0" w:space="0" w:color="auto"/>
        <w:bottom w:val="none" w:sz="0" w:space="0" w:color="auto"/>
        <w:right w:val="none" w:sz="0" w:space="0" w:color="auto"/>
      </w:divBdr>
    </w:div>
    <w:div w:id="1617178687">
      <w:bodyDiv w:val="1"/>
      <w:marLeft w:val="0"/>
      <w:marRight w:val="0"/>
      <w:marTop w:val="0"/>
      <w:marBottom w:val="0"/>
      <w:divBdr>
        <w:top w:val="none" w:sz="0" w:space="0" w:color="auto"/>
        <w:left w:val="none" w:sz="0" w:space="0" w:color="auto"/>
        <w:bottom w:val="none" w:sz="0" w:space="0" w:color="auto"/>
        <w:right w:val="none" w:sz="0" w:space="0" w:color="auto"/>
      </w:divBdr>
    </w:div>
    <w:div w:id="1846817743">
      <w:bodyDiv w:val="1"/>
      <w:marLeft w:val="0"/>
      <w:marRight w:val="0"/>
      <w:marTop w:val="0"/>
      <w:marBottom w:val="0"/>
      <w:divBdr>
        <w:top w:val="none" w:sz="0" w:space="0" w:color="auto"/>
        <w:left w:val="none" w:sz="0" w:space="0" w:color="auto"/>
        <w:bottom w:val="none" w:sz="0" w:space="0" w:color="auto"/>
        <w:right w:val="none" w:sz="0" w:space="0" w:color="auto"/>
      </w:divBdr>
    </w:div>
    <w:div w:id="1911846637">
      <w:bodyDiv w:val="1"/>
      <w:marLeft w:val="0"/>
      <w:marRight w:val="0"/>
      <w:marTop w:val="0"/>
      <w:marBottom w:val="0"/>
      <w:divBdr>
        <w:top w:val="none" w:sz="0" w:space="0" w:color="auto"/>
        <w:left w:val="none" w:sz="0" w:space="0" w:color="auto"/>
        <w:bottom w:val="none" w:sz="0" w:space="0" w:color="auto"/>
        <w:right w:val="none" w:sz="0" w:space="0" w:color="auto"/>
      </w:divBdr>
    </w:div>
    <w:div w:id="1928534734">
      <w:bodyDiv w:val="1"/>
      <w:marLeft w:val="0"/>
      <w:marRight w:val="0"/>
      <w:marTop w:val="0"/>
      <w:marBottom w:val="0"/>
      <w:divBdr>
        <w:top w:val="none" w:sz="0" w:space="0" w:color="auto"/>
        <w:left w:val="none" w:sz="0" w:space="0" w:color="auto"/>
        <w:bottom w:val="none" w:sz="0" w:space="0" w:color="auto"/>
        <w:right w:val="none" w:sz="0" w:space="0" w:color="auto"/>
      </w:divBdr>
    </w:div>
    <w:div w:id="2006663704">
      <w:bodyDiv w:val="1"/>
      <w:marLeft w:val="0"/>
      <w:marRight w:val="0"/>
      <w:marTop w:val="0"/>
      <w:marBottom w:val="0"/>
      <w:divBdr>
        <w:top w:val="none" w:sz="0" w:space="0" w:color="auto"/>
        <w:left w:val="none" w:sz="0" w:space="0" w:color="auto"/>
        <w:bottom w:val="none" w:sz="0" w:space="0" w:color="auto"/>
        <w:right w:val="none" w:sz="0" w:space="0" w:color="auto"/>
      </w:divBdr>
    </w:div>
    <w:div w:id="2130194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2.xml"/><Relationship Id="rId18" Type="http://schemas.openxmlformats.org/officeDocument/2006/relationships/chart" Target="charts/chart7.xml"/><Relationship Id="rId26" Type="http://schemas.openxmlformats.org/officeDocument/2006/relationships/chart" Target="charts/chart15.xml"/><Relationship Id="rId3" Type="http://schemas.openxmlformats.org/officeDocument/2006/relationships/customXml" Target="../customXml/item3.xml"/><Relationship Id="rId21" Type="http://schemas.openxmlformats.org/officeDocument/2006/relationships/chart" Target="charts/chart10.xml"/><Relationship Id="rId7" Type="http://schemas.openxmlformats.org/officeDocument/2006/relationships/settings" Target="settings.xml"/><Relationship Id="rId12" Type="http://schemas.openxmlformats.org/officeDocument/2006/relationships/chart" Target="charts/chart1.xml"/><Relationship Id="rId17" Type="http://schemas.openxmlformats.org/officeDocument/2006/relationships/chart" Target="charts/chart6.xml"/><Relationship Id="rId25" Type="http://schemas.openxmlformats.org/officeDocument/2006/relationships/chart" Target="charts/chart14.xml"/><Relationship Id="rId2" Type="http://schemas.openxmlformats.org/officeDocument/2006/relationships/customXml" Target="../customXml/item2.xml"/><Relationship Id="rId16" Type="http://schemas.openxmlformats.org/officeDocument/2006/relationships/chart" Target="charts/chart5.xml"/><Relationship Id="rId20" Type="http://schemas.openxmlformats.org/officeDocument/2006/relationships/chart" Target="charts/chart9.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chart" Target="charts/chart13.xml"/><Relationship Id="rId5" Type="http://schemas.openxmlformats.org/officeDocument/2006/relationships/numbering" Target="numbering.xml"/><Relationship Id="rId15" Type="http://schemas.openxmlformats.org/officeDocument/2006/relationships/chart" Target="charts/chart4.xml"/><Relationship Id="rId23" Type="http://schemas.openxmlformats.org/officeDocument/2006/relationships/chart" Target="charts/chart12.xm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chart" Target="charts/chart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3.xml"/><Relationship Id="rId22" Type="http://schemas.openxmlformats.org/officeDocument/2006/relationships/chart" Target="charts/chart11.xml"/><Relationship Id="rId27" Type="http://schemas.openxmlformats.org/officeDocument/2006/relationships/image" Target="media/image2.emf"/><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https://worldbankgroup-my.sharepoint.com/personal/lrchamussy_worldbank_org/Documents/Uruguay/URY%20Gender/Gendered%20CEQ/Analysis%20for%20paper%20-%202022/Resultados%20-%20PER_v4.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10.xml.rels><?xml version="1.0" encoding="UTF-8" standalone="yes"?>
<Relationships xmlns="http://schemas.openxmlformats.org/package/2006/relationships"><Relationship Id="rId3" Type="http://schemas.openxmlformats.org/officeDocument/2006/relationships/oleObject" Target="https://worldbankgroup-my.sharepoint.com/personal/lrchamussy_worldbank_org/Documents/Uruguay/URY%20Gender/Gendered%20CEQ/Analysis%20for%20paper%20-%202022/Resultados%20-%20PER_v5.xlsx" TargetMode="External"/><Relationship Id="rId2" Type="http://schemas.microsoft.com/office/2011/relationships/chartColorStyle" Target="colors7.xml"/><Relationship Id="rId1" Type="http://schemas.microsoft.com/office/2011/relationships/chartStyle" Target="style7.xml"/></Relationships>
</file>

<file path=word/charts/_rels/chart11.xml.rels><?xml version="1.0" encoding="UTF-8" standalone="yes"?>
<Relationships xmlns="http://schemas.openxmlformats.org/package/2006/relationships"><Relationship Id="rId3" Type="http://schemas.openxmlformats.org/officeDocument/2006/relationships/oleObject" Target="https://worldbankgroup-my.sharepoint.com/personal/lrchamussy_worldbank_org/Documents/Uruguay/URY%20Gender/Gendered%20CEQ/Analysis%20for%20paper%20-%202022/Resultados%20-%20PER_v5.xlsx" TargetMode="External"/><Relationship Id="rId2" Type="http://schemas.microsoft.com/office/2011/relationships/chartColorStyle" Target="colors8.xml"/><Relationship Id="rId1" Type="http://schemas.microsoft.com/office/2011/relationships/chartStyle" Target="style8.xml"/></Relationships>
</file>

<file path=word/charts/_rels/chart12.xml.rels><?xml version="1.0" encoding="UTF-8" standalone="yes"?>
<Relationships xmlns="http://schemas.openxmlformats.org/package/2006/relationships"><Relationship Id="rId3" Type="http://schemas.openxmlformats.org/officeDocument/2006/relationships/oleObject" Target="https://worldbankgroup-my.sharepoint.com/personal/lrchamussy_worldbank_org/Documents/Uruguay/URY%20Gender/Gendered%20CEQ/Analysis%20for%20paper%20-%202022/Resultados%20-%20PER_v5.xlsx" TargetMode="External"/><Relationship Id="rId2" Type="http://schemas.microsoft.com/office/2011/relationships/chartColorStyle" Target="colors9.xml"/><Relationship Id="rId1" Type="http://schemas.microsoft.com/office/2011/relationships/chartStyle" Target="style9.xml"/></Relationships>
</file>

<file path=word/charts/_rels/chart13.xml.rels><?xml version="1.0" encoding="UTF-8" standalone="yes"?>
<Relationships xmlns="http://schemas.openxmlformats.org/package/2006/relationships"><Relationship Id="rId3" Type="http://schemas.openxmlformats.org/officeDocument/2006/relationships/oleObject" Target="https://worldbankgroup-my.sharepoint.com/personal/lrchamussy_worldbank_org/Documents/Uruguay/URY%20Gender/Gendered%20CEQ/Analysis%20for%20paper%20-%202022/Resultados%20-%20PER_v5.xlsx" TargetMode="External"/><Relationship Id="rId2" Type="http://schemas.microsoft.com/office/2011/relationships/chartColorStyle" Target="colors10.xml"/><Relationship Id="rId1" Type="http://schemas.microsoft.com/office/2011/relationships/chartStyle" Target="style10.xml"/></Relationships>
</file>

<file path=word/charts/_rels/chart14.xml.rels><?xml version="1.0" encoding="UTF-8" standalone="yes"?>
<Relationships xmlns="http://schemas.openxmlformats.org/package/2006/relationships"><Relationship Id="rId3" Type="http://schemas.openxmlformats.org/officeDocument/2006/relationships/oleObject" Target="https://worldbankgroup-my.sharepoint.com/personal/lrchamussy_worldbank_org/Documents/Uruguay/URY%20Gender/Gendered%20CEQ/Analysis%20for%20paper%20-%202022/Resultados%20-%20PER_v5.xlsx" TargetMode="External"/><Relationship Id="rId2" Type="http://schemas.microsoft.com/office/2011/relationships/chartColorStyle" Target="colors11.xml"/><Relationship Id="rId1" Type="http://schemas.microsoft.com/office/2011/relationships/chartStyle" Target="style11.xml"/></Relationships>
</file>

<file path=word/charts/_rels/chart15.xml.rels><?xml version="1.0" encoding="UTF-8" standalone="yes"?>
<Relationships xmlns="http://schemas.openxmlformats.org/package/2006/relationships"><Relationship Id="rId3" Type="http://schemas.openxmlformats.org/officeDocument/2006/relationships/oleObject" Target="https://worldbankgroup-my.sharepoint.com/personal/lrchamussy_worldbank_org/Documents/Uruguay/URY%20Gender/Gendered%20CEQ/Analysis%20for%20paper%20-%202022/Resultados%20-%20PER_v5.xlsx" TargetMode="External"/><Relationship Id="rId2" Type="http://schemas.microsoft.com/office/2011/relationships/chartColorStyle" Target="colors12.xml"/><Relationship Id="rId1" Type="http://schemas.microsoft.com/office/2011/relationships/chartStyle" Target="style12.xml"/></Relationships>
</file>

<file path=word/charts/_rels/chart2.xml.rels><?xml version="1.0" encoding="UTF-8" standalone="yes"?>
<Relationships xmlns="http://schemas.openxmlformats.org/package/2006/relationships"><Relationship Id="rId3" Type="http://schemas.openxmlformats.org/officeDocument/2006/relationships/oleObject" Target="https://worldbankgroup-my.sharepoint.com/personal/lrchamussy_worldbank_org/Documents/Uruguay/URY%20Gender/Gendered%20CEQ/Analysis%20for%20paper%20-%202022/Resultados%20-%20PER_v5.xlsx" TargetMode="Externa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2.xml"/></Relationships>
</file>

<file path=word/charts/_rels/chart3.xml.rels><?xml version="1.0" encoding="UTF-8" standalone="yes"?>
<Relationships xmlns="http://schemas.openxmlformats.org/package/2006/relationships"><Relationship Id="rId3" Type="http://schemas.openxmlformats.org/officeDocument/2006/relationships/oleObject" Target="https://worldbankgroup-my.sharepoint.com/personal/lrchamussy_worldbank_org/Documents/Uruguay/URY%20Gender/Gendered%20CEQ/Analysis%20for%20paper%20-%202022/Resultados%20-%20PER_v5.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1" Type="http://schemas.openxmlformats.org/officeDocument/2006/relationships/oleObject" Target="https://worldbankgroup-my.sharepoint.com/personal/lrchamussy_worldbank_org/Documents/Uruguay/URY%20Gender/Gendered%20CEQ/Analysis%20for%20paper%20-%202022/Resultados%20-%20PER_v4.xlsx" TargetMode="External"/></Relationships>
</file>

<file path=word/charts/_rels/chart5.xml.rels><?xml version="1.0" encoding="UTF-8" standalone="yes"?>
<Relationships xmlns="http://schemas.openxmlformats.org/package/2006/relationships"><Relationship Id="rId3" Type="http://schemas.openxmlformats.org/officeDocument/2006/relationships/oleObject" Target="https://worldbankgroup-my.sharepoint.com/personal/lrchamussy_worldbank_org/Documents/Uruguay/URY%20Gender/Gendered%20CEQ/Analysis%20for%20paper%20-%202022/Resultados%20-%20PER_v5.xlsx" TargetMode="External"/><Relationship Id="rId2" Type="http://schemas.microsoft.com/office/2011/relationships/chartColorStyle" Target="colors4.xml"/><Relationship Id="rId1" Type="http://schemas.microsoft.com/office/2011/relationships/chartStyle" Target="style4.xml"/></Relationships>
</file>

<file path=word/charts/_rels/chart6.xml.rels><?xml version="1.0" encoding="UTF-8" standalone="yes"?>
<Relationships xmlns="http://schemas.openxmlformats.org/package/2006/relationships"><Relationship Id="rId3" Type="http://schemas.openxmlformats.org/officeDocument/2006/relationships/oleObject" Target="https://worldbankgroup-my.sharepoint.com/personal/lrchamussy_worldbank_org/Documents/Uruguay/URY%20Gender/Gendered%20CEQ/Analysis%20for%20paper%20-%202022/Resultados%20-%20PER_v5.xlsx" TargetMode="External"/><Relationship Id="rId2" Type="http://schemas.microsoft.com/office/2011/relationships/chartColorStyle" Target="colors5.xml"/><Relationship Id="rId1" Type="http://schemas.microsoft.com/office/2011/relationships/chartStyle" Target="style5.xml"/></Relationships>
</file>

<file path=word/charts/_rels/chart7.xml.rels><?xml version="1.0" encoding="UTF-8" standalone="yes"?>
<Relationships xmlns="http://schemas.openxmlformats.org/package/2006/relationships"><Relationship Id="rId3" Type="http://schemas.openxmlformats.org/officeDocument/2006/relationships/oleObject" Target="https://worldbankgroup-my.sharepoint.com/personal/lrchamussy_worldbank_org/Documents/Uruguay/URY%20Gender/Gendered%20CEQ/Analysis%20for%20paper%20-%202022/Resultados%20-%20PER_v5.xlsx" TargetMode="External"/><Relationship Id="rId2" Type="http://schemas.microsoft.com/office/2011/relationships/chartColorStyle" Target="colors6.xml"/><Relationship Id="rId1" Type="http://schemas.microsoft.com/office/2011/relationships/chartStyle" Target="style6.xml"/></Relationships>
</file>

<file path=word/charts/_rels/chart8.xml.rels><?xml version="1.0" encoding="UTF-8" standalone="yes"?>
<Relationships xmlns="http://schemas.openxmlformats.org/package/2006/relationships"><Relationship Id="rId1" Type="http://schemas.openxmlformats.org/officeDocument/2006/relationships/oleObject" Target="https://worldbankgroup-my.sharepoint.com/personal/lrchamussy_worldbank_org/Documents/Uruguay/URY%20Gender/Gendered%20CEQ/Analysis%20for%20paper%20-%202022/Resultados%20-%20PER_v5.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https://worldbankgroup-my.sharepoint.com/personal/lrchamussy_worldbank_org/Documents/Uruguay/URY%20Gender/Gendered%20CEQ/Analysis%20for%20paper%20-%202022/Resultados%20-%20PER_v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9918616082684688"/>
          <c:y val="3.7037118552673574E-2"/>
          <c:w val="0.52337274391721766"/>
          <c:h val="0.87342104931921605"/>
        </c:manualLayout>
      </c:layout>
      <c:barChart>
        <c:barDir val="col"/>
        <c:grouping val="stacked"/>
        <c:varyColors val="0"/>
        <c:ser>
          <c:idx val="0"/>
          <c:order val="0"/>
          <c:tx>
            <c:strRef>
              <c:f>'Graphs classifications'!$P$46</c:f>
              <c:strCache>
                <c:ptCount val="1"/>
                <c:pt idx="0">
                  <c:v>Couple with individuals under 25</c:v>
                </c:pt>
              </c:strCache>
            </c:strRef>
          </c:tx>
          <c:spPr>
            <a:solidFill>
              <a:schemeClr val="accent6">
                <a:lumMod val="60000"/>
                <a:lumOff val="40000"/>
              </a:schemeClr>
            </a:solidFill>
            <a:ln>
              <a:noFill/>
            </a:ln>
            <a:effectLst/>
          </c:spPr>
          <c:invertIfNegative val="0"/>
          <c:dLbls>
            <c:spPr>
              <a:noFill/>
              <a:ln>
                <a:noFill/>
              </a:ln>
              <a:effectLst/>
            </c:spPr>
            <c:txPr>
              <a:bodyPr rot="0" spcFirstLastPara="1" vertOverflow="ellipsis" vert="horz" wrap="square" anchor="ctr" anchorCtr="1"/>
              <a:lstStyle/>
              <a:p>
                <a:pPr>
                  <a:defRPr sz="850" b="1"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'Graphs classifications'!$Q$46:$R$46</c:f>
              <c:numCache>
                <c:formatCode>0.0%</c:formatCode>
                <c:ptCount val="2"/>
                <c:pt idx="0">
                  <c:v>0.31570113551605022</c:v>
                </c:pt>
                <c:pt idx="1">
                  <c:v>0.46021437078205635</c:v>
                </c:pt>
              </c:numCache>
            </c:numRef>
          </c:val>
          <c:extLst>
            <c:ext xmlns:c16="http://schemas.microsoft.com/office/drawing/2014/chart" uri="{C3380CC4-5D6E-409C-BE32-E72D297353CC}">
              <c16:uniqueId val="{00000000-DF9E-4455-AF30-7DFF4D414D4D}"/>
            </c:ext>
          </c:extLst>
        </c:ser>
        <c:ser>
          <c:idx val="1"/>
          <c:order val="1"/>
          <c:tx>
            <c:strRef>
              <c:f>'Graphs classifications'!$P$47</c:f>
              <c:strCache>
                <c:ptCount val="1"/>
                <c:pt idx="0">
                  <c:v>Couple without individuals under 25</c:v>
                </c:pt>
              </c:strCache>
            </c:strRef>
          </c:tx>
          <c:spPr>
            <a:solidFill>
              <a:schemeClr val="accent6">
                <a:lumMod val="75000"/>
              </a:schemeClr>
            </a:solidFill>
            <a:ln>
              <a:noFill/>
            </a:ln>
            <a:effectLst/>
          </c:spPr>
          <c:invertIfNegative val="0"/>
          <c:dLbls>
            <c:spPr>
              <a:noFill/>
              <a:ln>
                <a:noFill/>
              </a:ln>
              <a:effectLst/>
            </c:spPr>
            <c:txPr>
              <a:bodyPr rot="0" spcFirstLastPara="1" vertOverflow="ellipsis" vert="horz" wrap="square" anchor="ctr" anchorCtr="1"/>
              <a:lstStyle/>
              <a:p>
                <a:pPr>
                  <a:defRPr sz="850" b="1"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'Graphs classifications'!$Q$47:$R$47</c:f>
              <c:numCache>
                <c:formatCode>0.0%</c:formatCode>
                <c:ptCount val="2"/>
                <c:pt idx="0">
                  <c:v>0.18429436139196304</c:v>
                </c:pt>
                <c:pt idx="1">
                  <c:v>3.5490273918221515E-2</c:v>
                </c:pt>
              </c:numCache>
            </c:numRef>
          </c:val>
          <c:extLst>
            <c:ext xmlns:c16="http://schemas.microsoft.com/office/drawing/2014/chart" uri="{C3380CC4-5D6E-409C-BE32-E72D297353CC}">
              <c16:uniqueId val="{00000001-DF9E-4455-AF30-7DFF4D414D4D}"/>
            </c:ext>
          </c:extLst>
        </c:ser>
        <c:ser>
          <c:idx val="2"/>
          <c:order val="2"/>
          <c:tx>
            <c:strRef>
              <c:f>'Graphs classifications'!$P$48</c:f>
              <c:strCache>
                <c:ptCount val="1"/>
                <c:pt idx="0">
                  <c:v>Extended, without individuals under 25</c:v>
                </c:pt>
              </c:strCache>
            </c:strRef>
          </c:tx>
          <c:spPr>
            <a:solidFill>
              <a:schemeClr val="accent4">
                <a:lumMod val="75000"/>
              </a:schemeClr>
            </a:solidFill>
            <a:ln>
              <a:noFill/>
            </a:ln>
            <a:effectLst/>
          </c:spPr>
          <c:invertIfNegative val="0"/>
          <c:dLbls>
            <c:spPr>
              <a:noFill/>
              <a:ln>
                <a:noFill/>
              </a:ln>
              <a:effectLst/>
            </c:spPr>
            <c:txPr>
              <a:bodyPr rot="0" spcFirstLastPara="1" vertOverflow="ellipsis" vert="horz" wrap="square" anchor="ctr" anchorCtr="1"/>
              <a:lstStyle/>
              <a:p>
                <a:pPr>
                  <a:defRPr sz="850" b="1"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'Graphs classifications'!$Q$48:$R$48</c:f>
              <c:numCache>
                <c:formatCode>0.0%</c:formatCode>
                <c:ptCount val="2"/>
                <c:pt idx="0">
                  <c:v>0.11715980982214425</c:v>
                </c:pt>
                <c:pt idx="1">
                  <c:v>3.3283048828900361E-2</c:v>
                </c:pt>
              </c:numCache>
            </c:numRef>
          </c:val>
          <c:extLst>
            <c:ext xmlns:c16="http://schemas.microsoft.com/office/drawing/2014/chart" uri="{C3380CC4-5D6E-409C-BE32-E72D297353CC}">
              <c16:uniqueId val="{00000002-DF9E-4455-AF30-7DFF4D414D4D}"/>
            </c:ext>
          </c:extLst>
        </c:ser>
        <c:ser>
          <c:idx val="3"/>
          <c:order val="3"/>
          <c:tx>
            <c:strRef>
              <c:f>'Graphs classifications'!$P$49</c:f>
              <c:strCache>
                <c:ptCount val="1"/>
                <c:pt idx="0">
                  <c:v>Single-person female</c:v>
                </c:pt>
              </c:strCache>
            </c:strRef>
          </c:tx>
          <c:spPr>
            <a:solidFill>
              <a:schemeClr val="accent2">
                <a:lumMod val="75000"/>
              </a:schemeClr>
            </a:solidFill>
            <a:ln>
              <a:noFill/>
            </a:ln>
            <a:effectLst/>
          </c:spPr>
          <c:invertIfNegative val="0"/>
          <c:dLbls>
            <c:spPr>
              <a:noFill/>
              <a:ln>
                <a:noFill/>
              </a:ln>
              <a:effectLst/>
            </c:spPr>
            <c:txPr>
              <a:bodyPr rot="0" spcFirstLastPara="1" vertOverflow="ellipsis" vert="horz" wrap="square" anchor="ctr" anchorCtr="1"/>
              <a:lstStyle/>
              <a:p>
                <a:pPr>
                  <a:defRPr sz="850" b="1"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'Graphs classifications'!$Q$49:$R$49</c:f>
              <c:numCache>
                <c:formatCode>0.0%</c:formatCode>
                <c:ptCount val="2"/>
                <c:pt idx="0">
                  <c:v>0.10194345262706293</c:v>
                </c:pt>
                <c:pt idx="1">
                  <c:v>1.2258832870186582E-2</c:v>
                </c:pt>
              </c:numCache>
            </c:numRef>
          </c:val>
          <c:extLst>
            <c:ext xmlns:c16="http://schemas.microsoft.com/office/drawing/2014/chart" uri="{C3380CC4-5D6E-409C-BE32-E72D297353CC}">
              <c16:uniqueId val="{00000003-DF9E-4455-AF30-7DFF4D414D4D}"/>
            </c:ext>
          </c:extLst>
        </c:ser>
        <c:ser>
          <c:idx val="4"/>
          <c:order val="4"/>
          <c:tx>
            <c:strRef>
              <c:f>'Graphs classifications'!$P$50</c:f>
              <c:strCache>
                <c:ptCount val="1"/>
                <c:pt idx="0">
                  <c:v>Extended, with individuals under 25</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850" b="1"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'Graphs classifications'!$Q$50:$R$50</c:f>
              <c:numCache>
                <c:formatCode>0.0%</c:formatCode>
                <c:ptCount val="2"/>
                <c:pt idx="0">
                  <c:v>9.006183973413745E-2</c:v>
                </c:pt>
                <c:pt idx="1">
                  <c:v>0.14542278682016674</c:v>
                </c:pt>
              </c:numCache>
            </c:numRef>
          </c:val>
          <c:extLst>
            <c:ext xmlns:c16="http://schemas.microsoft.com/office/drawing/2014/chart" uri="{C3380CC4-5D6E-409C-BE32-E72D297353CC}">
              <c16:uniqueId val="{00000004-DF9E-4455-AF30-7DFF4D414D4D}"/>
            </c:ext>
          </c:extLst>
        </c:ser>
        <c:ser>
          <c:idx val="5"/>
          <c:order val="5"/>
          <c:tx>
            <c:strRef>
              <c:f>'Graphs classifications'!$P$51</c:f>
              <c:strCache>
                <c:ptCount val="1"/>
                <c:pt idx="0">
                  <c:v>Single-person male</c:v>
                </c:pt>
              </c:strCache>
            </c:strRef>
          </c:tx>
          <c:spPr>
            <a:solidFill>
              <a:schemeClr val="accent1">
                <a:lumMod val="75000"/>
              </a:schemeClr>
            </a:solidFill>
            <a:ln>
              <a:noFill/>
            </a:ln>
            <a:effectLst/>
          </c:spPr>
          <c:invertIfNegative val="0"/>
          <c:dLbls>
            <c:spPr>
              <a:noFill/>
              <a:ln>
                <a:noFill/>
              </a:ln>
              <a:effectLst/>
            </c:spPr>
            <c:txPr>
              <a:bodyPr rot="0" spcFirstLastPara="1" vertOverflow="ellipsis" vert="horz" wrap="square" anchor="ctr" anchorCtr="1"/>
              <a:lstStyle/>
              <a:p>
                <a:pPr>
                  <a:defRPr sz="850" b="1"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'Graphs classifications'!$Q$51:$R$51</c:f>
              <c:numCache>
                <c:formatCode>0.0%</c:formatCode>
                <c:ptCount val="2"/>
                <c:pt idx="0">
                  <c:v>8.8482482562799711E-2</c:v>
                </c:pt>
                <c:pt idx="1">
                  <c:v>3.182215164747916E-2</c:v>
                </c:pt>
              </c:numCache>
            </c:numRef>
          </c:val>
          <c:extLst>
            <c:ext xmlns:c16="http://schemas.microsoft.com/office/drawing/2014/chart" uri="{C3380CC4-5D6E-409C-BE32-E72D297353CC}">
              <c16:uniqueId val="{00000005-DF9E-4455-AF30-7DFF4D414D4D}"/>
            </c:ext>
          </c:extLst>
        </c:ser>
        <c:ser>
          <c:idx val="6"/>
          <c:order val="6"/>
          <c:tx>
            <c:strRef>
              <c:f>'Graphs classifications'!$P$52</c:f>
              <c:strCache>
                <c:ptCount val="1"/>
                <c:pt idx="0">
                  <c:v>Single-woman with individuals under 25</c:v>
                </c:pt>
              </c:strCache>
            </c:strRef>
          </c:tx>
          <c:spPr>
            <a:solidFill>
              <a:schemeClr val="accent2">
                <a:lumMod val="60000"/>
                <a:lumOff val="40000"/>
              </a:schemeClr>
            </a:solidFill>
            <a:ln>
              <a:noFill/>
            </a:ln>
            <a:effectLst/>
          </c:spPr>
          <c:invertIfNegative val="0"/>
          <c:dLbls>
            <c:dLbl>
              <c:idx val="0"/>
              <c:layout>
                <c:manualLayout>
                  <c:x val="-1.0213438188049465E-16"/>
                  <c:y val="8.088976190385210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DF9E-4455-AF30-7DFF4D414D4D}"/>
                </c:ext>
              </c:extLst>
            </c:dLbl>
            <c:spPr>
              <a:noFill/>
              <a:ln>
                <a:noFill/>
              </a:ln>
              <a:effectLst/>
            </c:spPr>
            <c:txPr>
              <a:bodyPr rot="0" spcFirstLastPara="1" vertOverflow="ellipsis" vert="horz" wrap="square" anchor="ctr" anchorCtr="1"/>
              <a:lstStyle/>
              <a:p>
                <a:pPr>
                  <a:defRPr sz="850" b="1"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'Graphs classifications'!$Q$52:$R$52</c:f>
              <c:numCache>
                <c:formatCode>0.0%</c:formatCode>
                <c:ptCount val="2"/>
                <c:pt idx="0">
                  <c:v>8.6890025487500647E-2</c:v>
                </c:pt>
                <c:pt idx="1">
                  <c:v>0.25911869789599046</c:v>
                </c:pt>
              </c:numCache>
            </c:numRef>
          </c:val>
          <c:extLst>
            <c:ext xmlns:c16="http://schemas.microsoft.com/office/drawing/2014/chart" uri="{C3380CC4-5D6E-409C-BE32-E72D297353CC}">
              <c16:uniqueId val="{00000007-DF9E-4455-AF30-7DFF4D414D4D}"/>
            </c:ext>
          </c:extLst>
        </c:ser>
        <c:ser>
          <c:idx val="7"/>
          <c:order val="7"/>
          <c:tx>
            <c:strRef>
              <c:f>'Graphs classifications'!$P$53</c:f>
              <c:strCache>
                <c:ptCount val="1"/>
                <c:pt idx="0">
                  <c:v>Single-man with individuals under 25</c:v>
                </c:pt>
              </c:strCache>
            </c:strRef>
          </c:tx>
          <c:spPr>
            <a:solidFill>
              <a:schemeClr val="accent1">
                <a:lumMod val="60000"/>
                <a:lumOff val="40000"/>
              </a:schemeClr>
            </a:solidFill>
            <a:ln>
              <a:noFill/>
            </a:ln>
            <a:effectLst/>
          </c:spPr>
          <c:invertIfNegative val="0"/>
          <c:dLbls>
            <c:dLbl>
              <c:idx val="0"/>
              <c:layout>
                <c:manualLayout>
                  <c:x val="-1.0213438188049465E-16"/>
                  <c:y val="8.088976190385196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DF9E-4455-AF30-7DFF4D414D4D}"/>
                </c:ext>
              </c:extLst>
            </c:dLbl>
            <c:dLbl>
              <c:idx val="1"/>
              <c:layout>
                <c:manualLayout>
                  <c:x val="0"/>
                  <c:y val="4.044488095192600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DF9E-4455-AF30-7DFF4D414D4D}"/>
                </c:ext>
              </c:extLst>
            </c:dLbl>
            <c:spPr>
              <a:noFill/>
              <a:ln>
                <a:noFill/>
              </a:ln>
              <a:effectLst/>
            </c:spPr>
            <c:txPr>
              <a:bodyPr rot="0" spcFirstLastPara="1" vertOverflow="ellipsis" vert="horz" wrap="square" anchor="ctr" anchorCtr="1"/>
              <a:lstStyle/>
              <a:p>
                <a:pPr>
                  <a:defRPr sz="850" b="1"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'Graphs classifications'!$Q$53:$R$53</c:f>
              <c:numCache>
                <c:formatCode>0.0%</c:formatCode>
                <c:ptCount val="2"/>
                <c:pt idx="0">
                  <c:v>1.5466892858341732E-2</c:v>
                </c:pt>
                <c:pt idx="1">
                  <c:v>2.2389837236998809E-2</c:v>
                </c:pt>
              </c:numCache>
            </c:numRef>
          </c:val>
          <c:extLst>
            <c:ext xmlns:c16="http://schemas.microsoft.com/office/drawing/2014/chart" uri="{C3380CC4-5D6E-409C-BE32-E72D297353CC}">
              <c16:uniqueId val="{0000000A-DF9E-4455-AF30-7DFF4D414D4D}"/>
            </c:ext>
          </c:extLst>
        </c:ser>
        <c:dLbls>
          <c:showLegendKey val="0"/>
          <c:showVal val="0"/>
          <c:showCatName val="0"/>
          <c:showSerName val="0"/>
          <c:showPercent val="0"/>
          <c:showBubbleSize val="0"/>
        </c:dLbls>
        <c:gapWidth val="150"/>
        <c:overlap val="100"/>
        <c:axId val="120204671"/>
        <c:axId val="120202591"/>
      </c:barChart>
      <c:lineChart>
        <c:grouping val="standard"/>
        <c:varyColors val="0"/>
        <c:ser>
          <c:idx val="8"/>
          <c:order val="8"/>
          <c:tx>
            <c:strRef>
              <c:f>'Graphs classifications'!$P$75</c:f>
              <c:strCache>
                <c:ptCount val="1"/>
                <c:pt idx="0">
                  <c:v>Y axis</c:v>
                </c:pt>
              </c:strCache>
            </c:strRef>
          </c:tx>
          <c:spPr>
            <a:ln w="28575" cap="rnd">
              <a:solidFill>
                <a:schemeClr val="accent3">
                  <a:lumMod val="60000"/>
                </a:schemeClr>
              </a:solidFill>
              <a:round/>
            </a:ln>
            <a:effectLst/>
          </c:spPr>
          <c:marker>
            <c:symbol val="none"/>
          </c:marker>
          <c:val>
            <c:numRef>
              <c:f>'Graphs classifications'!$Q$75:$R$75</c:f>
              <c:numCache>
                <c:formatCode>General</c:formatCode>
                <c:ptCount val="2"/>
              </c:numCache>
            </c:numRef>
          </c:val>
          <c:smooth val="0"/>
          <c:extLst>
            <c:ext xmlns:c16="http://schemas.microsoft.com/office/drawing/2014/chart" uri="{C3380CC4-5D6E-409C-BE32-E72D297353CC}">
              <c16:uniqueId val="{0000000B-DF9E-4455-AF30-7DFF4D414D4D}"/>
            </c:ext>
          </c:extLst>
        </c:ser>
        <c:dLbls>
          <c:showLegendKey val="0"/>
          <c:showVal val="0"/>
          <c:showCatName val="0"/>
          <c:showSerName val="0"/>
          <c:showPercent val="0"/>
          <c:showBubbleSize val="0"/>
        </c:dLbls>
        <c:marker val="1"/>
        <c:smooth val="0"/>
        <c:axId val="916847647"/>
        <c:axId val="916848479"/>
      </c:lineChart>
      <c:catAx>
        <c:axId val="916847647"/>
        <c:scaling>
          <c:orientation val="minMax"/>
        </c:scaling>
        <c:delete val="1"/>
        <c:axPos val="b"/>
        <c:numFmt formatCode="General" sourceLinked="1"/>
        <c:majorTickMark val="none"/>
        <c:minorTickMark val="none"/>
        <c:tickLblPos val="nextTo"/>
        <c:crossAx val="916848479"/>
        <c:crosses val="autoZero"/>
        <c:auto val="1"/>
        <c:lblAlgn val="ctr"/>
        <c:lblOffset val="100"/>
        <c:noMultiLvlLbl val="0"/>
      </c:catAx>
      <c:valAx>
        <c:axId val="916848479"/>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crossAx val="916847647"/>
        <c:crosses val="autoZero"/>
        <c:crossBetween val="between"/>
        <c:majorUnit val="1"/>
      </c:valAx>
      <c:valAx>
        <c:axId val="120202591"/>
        <c:scaling>
          <c:orientation val="minMax"/>
          <c:max val="1"/>
        </c:scaling>
        <c:delete val="0"/>
        <c:axPos val="r"/>
        <c:numFmt formatCode="0%" sourceLinked="0"/>
        <c:majorTickMark val="out"/>
        <c:minorTickMark val="none"/>
        <c:tickLblPos val="nextTo"/>
        <c:spPr>
          <a:noFill/>
          <a:ln>
            <a:noFill/>
          </a:ln>
          <a:effectLst/>
        </c:spPr>
        <c:txPr>
          <a:bodyPr rot="-60000000" spcFirstLastPara="1" vertOverflow="ellipsis" vert="horz" wrap="square" anchor="ctr" anchorCtr="1"/>
          <a:lstStyle/>
          <a:p>
            <a:pPr>
              <a:defRPr sz="850" b="0" i="0" u="none" strike="noStrike" kern="1200" baseline="0">
                <a:solidFill>
                  <a:sysClr val="windowText" lastClr="000000"/>
                </a:solidFill>
                <a:latin typeface="+mn-lt"/>
                <a:ea typeface="+mn-ea"/>
                <a:cs typeface="+mn-cs"/>
              </a:defRPr>
            </a:pPr>
            <a:endParaRPr lang="en-US"/>
          </a:p>
        </c:txPr>
        <c:crossAx val="120204671"/>
        <c:crosses val="max"/>
        <c:crossBetween val="between"/>
        <c:minorUnit val="1"/>
      </c:valAx>
      <c:catAx>
        <c:axId val="120204671"/>
        <c:scaling>
          <c:orientation val="minMax"/>
        </c:scaling>
        <c:delete val="1"/>
        <c:axPos val="b"/>
        <c:majorTickMark val="out"/>
        <c:minorTickMark val="none"/>
        <c:tickLblPos val="nextTo"/>
        <c:crossAx val="120202591"/>
        <c:crosses val="autoZero"/>
        <c:auto val="1"/>
        <c:lblAlgn val="ctr"/>
        <c:lblOffset val="100"/>
        <c:noMultiLvlLbl val="0"/>
      </c:cat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850" b="1">
          <a:solidFill>
            <a:schemeClr val="bg1"/>
          </a:solidFill>
        </a:defRPr>
      </a:pPr>
      <a:endParaRPr lang="en-US"/>
    </a:p>
  </c:txPr>
  <c:externalData r:id="rId3">
    <c:autoUpdate val="0"/>
  </c:externalData>
  <c:userShapes r:id="rId4"/>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percentStacked"/>
        <c:varyColors val="0"/>
        <c:ser>
          <c:idx val="0"/>
          <c:order val="0"/>
          <c:tx>
            <c:strRef>
              <c:f>'Interaction HH Classificati_25'!$A$53</c:f>
              <c:strCache>
                <c:ptCount val="1"/>
                <c:pt idx="0">
                  <c:v>Single-person female</c:v>
                </c:pt>
              </c:strCache>
            </c:strRef>
          </c:tx>
          <c:spPr>
            <a:solidFill>
              <a:schemeClr val="accent1"/>
            </a:solidFill>
            <a:ln>
              <a:noFill/>
            </a:ln>
            <a:effectLst/>
          </c:spPr>
          <c:invertIfNegative val="0"/>
          <c:cat>
            <c:multiLvlStrRef>
              <c:f>'Interaction HH Classificati_25'!$F$51:$M$52</c:f>
              <c:multiLvlStrCache>
                <c:ptCount val="8"/>
                <c:lvl>
                  <c:pt idx="0">
                    <c:v>w/ people over 60</c:v>
                  </c:pt>
                  <c:pt idx="1">
                    <c:v>w/o people over 60</c:v>
                  </c:pt>
                  <c:pt idx="4">
                    <c:v>Female dominated</c:v>
                  </c:pt>
                  <c:pt idx="5">
                    <c:v>Male dominated</c:v>
                  </c:pt>
                  <c:pt idx="6">
                    <c:v>Equal earners</c:v>
                  </c:pt>
                </c:lvl>
                <c:lvl>
                  <c:pt idx="0">
                    <c:v>No earners</c:v>
                  </c:pt>
                  <c:pt idx="2">
                    <c:v>Only female earners</c:v>
                  </c:pt>
                  <c:pt idx="3">
                    <c:v>Only male earners</c:v>
                  </c:pt>
                  <c:pt idx="4">
                    <c:v>Dual earners</c:v>
                  </c:pt>
                  <c:pt idx="7">
                    <c:v>Total</c:v>
                  </c:pt>
                </c:lvl>
              </c:multiLvlStrCache>
            </c:multiLvlStrRef>
          </c:cat>
          <c:val>
            <c:numRef>
              <c:f>'Interaction HH Classificati_25'!$F$53:$M$53</c:f>
              <c:numCache>
                <c:formatCode>0%</c:formatCode>
                <c:ptCount val="8"/>
                <c:pt idx="0">
                  <c:v>0.36332489001466473</c:v>
                </c:pt>
                <c:pt idx="1">
                  <c:v>0.14772107235095122</c:v>
                </c:pt>
                <c:pt idx="2">
                  <c:v>0.19733973183355749</c:v>
                </c:pt>
                <c:pt idx="3">
                  <c:v>0</c:v>
                </c:pt>
                <c:pt idx="4">
                  <c:v>0</c:v>
                </c:pt>
                <c:pt idx="5">
                  <c:v>0</c:v>
                </c:pt>
                <c:pt idx="6">
                  <c:v>0</c:v>
                </c:pt>
                <c:pt idx="7">
                  <c:v>0.10197553707099817</c:v>
                </c:pt>
              </c:numCache>
            </c:numRef>
          </c:val>
          <c:extLst>
            <c:ext xmlns:c16="http://schemas.microsoft.com/office/drawing/2014/chart" uri="{C3380CC4-5D6E-409C-BE32-E72D297353CC}">
              <c16:uniqueId val="{00000000-5861-4C6E-8C67-71CFC15399AF}"/>
            </c:ext>
          </c:extLst>
        </c:ser>
        <c:ser>
          <c:idx val="1"/>
          <c:order val="1"/>
          <c:tx>
            <c:strRef>
              <c:f>'Interaction HH Classificati_25'!$A$54</c:f>
              <c:strCache>
                <c:ptCount val="1"/>
                <c:pt idx="0">
                  <c:v>Single-person male</c:v>
                </c:pt>
              </c:strCache>
            </c:strRef>
          </c:tx>
          <c:spPr>
            <a:solidFill>
              <a:schemeClr val="accent2"/>
            </a:solidFill>
            <a:ln>
              <a:noFill/>
            </a:ln>
            <a:effectLst/>
          </c:spPr>
          <c:invertIfNegative val="0"/>
          <c:cat>
            <c:multiLvlStrRef>
              <c:f>'Interaction HH Classificati_25'!$F$51:$M$52</c:f>
              <c:multiLvlStrCache>
                <c:ptCount val="8"/>
                <c:lvl>
                  <c:pt idx="0">
                    <c:v>w/ people over 60</c:v>
                  </c:pt>
                  <c:pt idx="1">
                    <c:v>w/o people over 60</c:v>
                  </c:pt>
                  <c:pt idx="4">
                    <c:v>Female dominated</c:v>
                  </c:pt>
                  <c:pt idx="5">
                    <c:v>Male dominated</c:v>
                  </c:pt>
                  <c:pt idx="6">
                    <c:v>Equal earners</c:v>
                  </c:pt>
                </c:lvl>
                <c:lvl>
                  <c:pt idx="0">
                    <c:v>No earners</c:v>
                  </c:pt>
                  <c:pt idx="2">
                    <c:v>Only female earners</c:v>
                  </c:pt>
                  <c:pt idx="3">
                    <c:v>Only male earners</c:v>
                  </c:pt>
                  <c:pt idx="4">
                    <c:v>Dual earners</c:v>
                  </c:pt>
                  <c:pt idx="7">
                    <c:v>Total</c:v>
                  </c:pt>
                </c:lvl>
              </c:multiLvlStrCache>
            </c:multiLvlStrRef>
          </c:cat>
          <c:val>
            <c:numRef>
              <c:f>'Interaction HH Classificati_25'!$F$54:$M$54</c:f>
              <c:numCache>
                <c:formatCode>0%</c:formatCode>
                <c:ptCount val="8"/>
                <c:pt idx="0">
                  <c:v>0.11621561569568502</c:v>
                </c:pt>
                <c:pt idx="1">
                  <c:v>0.19755556363900914</c:v>
                </c:pt>
                <c:pt idx="2">
                  <c:v>0</c:v>
                </c:pt>
                <c:pt idx="3">
                  <c:v>0.23340462598815587</c:v>
                </c:pt>
                <c:pt idx="4">
                  <c:v>0</c:v>
                </c:pt>
                <c:pt idx="5">
                  <c:v>0</c:v>
                </c:pt>
                <c:pt idx="6">
                  <c:v>0</c:v>
                </c:pt>
                <c:pt idx="7">
                  <c:v>8.8488177888394026E-2</c:v>
                </c:pt>
              </c:numCache>
            </c:numRef>
          </c:val>
          <c:extLst>
            <c:ext xmlns:c16="http://schemas.microsoft.com/office/drawing/2014/chart" uri="{C3380CC4-5D6E-409C-BE32-E72D297353CC}">
              <c16:uniqueId val="{00000001-5861-4C6E-8C67-71CFC15399AF}"/>
            </c:ext>
          </c:extLst>
        </c:ser>
        <c:ser>
          <c:idx val="2"/>
          <c:order val="2"/>
          <c:tx>
            <c:strRef>
              <c:f>'Interaction HH Classificati_25'!$A$55</c:f>
              <c:strCache>
                <c:ptCount val="1"/>
                <c:pt idx="0">
                  <c:v>Single-woman with individuals under 25</c:v>
                </c:pt>
              </c:strCache>
            </c:strRef>
          </c:tx>
          <c:spPr>
            <a:solidFill>
              <a:schemeClr val="accent3"/>
            </a:solidFill>
            <a:ln>
              <a:noFill/>
            </a:ln>
            <a:effectLst/>
          </c:spPr>
          <c:invertIfNegative val="0"/>
          <c:cat>
            <c:multiLvlStrRef>
              <c:f>'Interaction HH Classificati_25'!$F$51:$M$52</c:f>
              <c:multiLvlStrCache>
                <c:ptCount val="8"/>
                <c:lvl>
                  <c:pt idx="0">
                    <c:v>w/ people over 60</c:v>
                  </c:pt>
                  <c:pt idx="1">
                    <c:v>w/o people over 60</c:v>
                  </c:pt>
                  <c:pt idx="4">
                    <c:v>Female dominated</c:v>
                  </c:pt>
                  <c:pt idx="5">
                    <c:v>Male dominated</c:v>
                  </c:pt>
                  <c:pt idx="6">
                    <c:v>Equal earners</c:v>
                  </c:pt>
                </c:lvl>
                <c:lvl>
                  <c:pt idx="0">
                    <c:v>No earners</c:v>
                  </c:pt>
                  <c:pt idx="2">
                    <c:v>Only female earners</c:v>
                  </c:pt>
                  <c:pt idx="3">
                    <c:v>Only male earners</c:v>
                  </c:pt>
                  <c:pt idx="4">
                    <c:v>Dual earners</c:v>
                  </c:pt>
                  <c:pt idx="7">
                    <c:v>Total</c:v>
                  </c:pt>
                </c:lvl>
              </c:multiLvlStrCache>
            </c:multiLvlStrRef>
          </c:cat>
          <c:val>
            <c:numRef>
              <c:f>'Interaction HH Classificati_25'!$F$55:$M$55</c:f>
              <c:numCache>
                <c:formatCode>0%</c:formatCode>
                <c:ptCount val="8"/>
                <c:pt idx="0">
                  <c:v>1.6197840287961604E-2</c:v>
                </c:pt>
                <c:pt idx="1">
                  <c:v>0.37830562729620604</c:v>
                </c:pt>
                <c:pt idx="2">
                  <c:v>0.37340546929127438</c:v>
                </c:pt>
                <c:pt idx="3">
                  <c:v>1.2841830990642457E-2</c:v>
                </c:pt>
                <c:pt idx="4">
                  <c:v>7.7466155991316163E-2</c:v>
                </c:pt>
                <c:pt idx="5">
                  <c:v>1.5774428067493212E-2</c:v>
                </c:pt>
                <c:pt idx="6">
                  <c:v>2.2814918020550842E-2</c:v>
                </c:pt>
                <c:pt idx="7">
                  <c:v>8.6885970657584494E-2</c:v>
                </c:pt>
              </c:numCache>
            </c:numRef>
          </c:val>
          <c:extLst>
            <c:ext xmlns:c16="http://schemas.microsoft.com/office/drawing/2014/chart" uri="{C3380CC4-5D6E-409C-BE32-E72D297353CC}">
              <c16:uniqueId val="{00000002-5861-4C6E-8C67-71CFC15399AF}"/>
            </c:ext>
          </c:extLst>
        </c:ser>
        <c:ser>
          <c:idx val="3"/>
          <c:order val="3"/>
          <c:tx>
            <c:strRef>
              <c:f>'Interaction HH Classificati_25'!$A$56</c:f>
              <c:strCache>
                <c:ptCount val="1"/>
                <c:pt idx="0">
                  <c:v>Single-man with individuals under 25</c:v>
                </c:pt>
              </c:strCache>
            </c:strRef>
          </c:tx>
          <c:spPr>
            <a:solidFill>
              <a:schemeClr val="accent4"/>
            </a:solidFill>
            <a:ln>
              <a:noFill/>
            </a:ln>
            <a:effectLst/>
          </c:spPr>
          <c:invertIfNegative val="0"/>
          <c:cat>
            <c:multiLvlStrRef>
              <c:f>'Interaction HH Classificati_25'!$F$51:$M$52</c:f>
              <c:multiLvlStrCache>
                <c:ptCount val="8"/>
                <c:lvl>
                  <c:pt idx="0">
                    <c:v>w/ people over 60</c:v>
                  </c:pt>
                  <c:pt idx="1">
                    <c:v>w/o people over 60</c:v>
                  </c:pt>
                  <c:pt idx="4">
                    <c:v>Female dominated</c:v>
                  </c:pt>
                  <c:pt idx="5">
                    <c:v>Male dominated</c:v>
                  </c:pt>
                  <c:pt idx="6">
                    <c:v>Equal earners</c:v>
                  </c:pt>
                </c:lvl>
                <c:lvl>
                  <c:pt idx="0">
                    <c:v>No earners</c:v>
                  </c:pt>
                  <c:pt idx="2">
                    <c:v>Only female earners</c:v>
                  </c:pt>
                  <c:pt idx="3">
                    <c:v>Only male earners</c:v>
                  </c:pt>
                  <c:pt idx="4">
                    <c:v>Dual earners</c:v>
                  </c:pt>
                  <c:pt idx="7">
                    <c:v>Total</c:v>
                  </c:pt>
                </c:lvl>
              </c:multiLvlStrCache>
            </c:multiLvlStrRef>
          </c:cat>
          <c:val>
            <c:numRef>
              <c:f>'Interaction HH Classificati_25'!$F$56:$M$56</c:f>
              <c:numCache>
                <c:formatCode>0%</c:formatCode>
                <c:ptCount val="8"/>
                <c:pt idx="0">
                  <c:v>4.3194240767897617E-3</c:v>
                </c:pt>
                <c:pt idx="1">
                  <c:v>2.5390127678149212E-2</c:v>
                </c:pt>
                <c:pt idx="2">
                  <c:v>1.5996250560378204E-3</c:v>
                </c:pt>
                <c:pt idx="3">
                  <c:v>4.5130996439435314E-2</c:v>
                </c:pt>
                <c:pt idx="4">
                  <c:v>1.8620823552253031E-3</c:v>
                </c:pt>
                <c:pt idx="5">
                  <c:v>6.5494533495775702E-3</c:v>
                </c:pt>
                <c:pt idx="6">
                  <c:v>3.2219540716045083E-3</c:v>
                </c:pt>
                <c:pt idx="7">
                  <c:v>1.5466171076761855E-2</c:v>
                </c:pt>
              </c:numCache>
            </c:numRef>
          </c:val>
          <c:extLst>
            <c:ext xmlns:c16="http://schemas.microsoft.com/office/drawing/2014/chart" uri="{C3380CC4-5D6E-409C-BE32-E72D297353CC}">
              <c16:uniqueId val="{00000003-5861-4C6E-8C67-71CFC15399AF}"/>
            </c:ext>
          </c:extLst>
        </c:ser>
        <c:ser>
          <c:idx val="4"/>
          <c:order val="4"/>
          <c:tx>
            <c:strRef>
              <c:f>'Interaction HH Classificati_25'!$A$57</c:f>
              <c:strCache>
                <c:ptCount val="1"/>
                <c:pt idx="0">
                  <c:v>Couple without individuals under 25</c:v>
                </c:pt>
              </c:strCache>
            </c:strRef>
          </c:tx>
          <c:spPr>
            <a:solidFill>
              <a:schemeClr val="accent5"/>
            </a:solidFill>
            <a:ln>
              <a:noFill/>
            </a:ln>
            <a:effectLst/>
          </c:spPr>
          <c:invertIfNegative val="0"/>
          <c:cat>
            <c:multiLvlStrRef>
              <c:f>'Interaction HH Classificati_25'!$F$51:$M$52</c:f>
              <c:multiLvlStrCache>
                <c:ptCount val="8"/>
                <c:lvl>
                  <c:pt idx="0">
                    <c:v>w/ people over 60</c:v>
                  </c:pt>
                  <c:pt idx="1">
                    <c:v>w/o people over 60</c:v>
                  </c:pt>
                  <c:pt idx="4">
                    <c:v>Female dominated</c:v>
                  </c:pt>
                  <c:pt idx="5">
                    <c:v>Male dominated</c:v>
                  </c:pt>
                  <c:pt idx="6">
                    <c:v>Equal earners</c:v>
                  </c:pt>
                </c:lvl>
                <c:lvl>
                  <c:pt idx="0">
                    <c:v>No earners</c:v>
                  </c:pt>
                  <c:pt idx="2">
                    <c:v>Only female earners</c:v>
                  </c:pt>
                  <c:pt idx="3">
                    <c:v>Only male earners</c:v>
                  </c:pt>
                  <c:pt idx="4">
                    <c:v>Dual earners</c:v>
                  </c:pt>
                  <c:pt idx="7">
                    <c:v>Total</c:v>
                  </c:pt>
                </c:lvl>
              </c:multiLvlStrCache>
            </c:multiLvlStrRef>
          </c:cat>
          <c:val>
            <c:numRef>
              <c:f>'Interaction HH Classificati_25'!$F$57:$M$57</c:f>
              <c:numCache>
                <c:formatCode>0%</c:formatCode>
                <c:ptCount val="8"/>
                <c:pt idx="0">
                  <c:v>0.34594498511309602</c:v>
                </c:pt>
                <c:pt idx="1">
                  <c:v>6.900440144047143E-2</c:v>
                </c:pt>
                <c:pt idx="2">
                  <c:v>9.36697640298325E-2</c:v>
                </c:pt>
                <c:pt idx="3">
                  <c:v>0.13892304359632288</c:v>
                </c:pt>
                <c:pt idx="4">
                  <c:v>0.18746139047249236</c:v>
                </c:pt>
                <c:pt idx="5">
                  <c:v>0.17193808079118988</c:v>
                </c:pt>
                <c:pt idx="6">
                  <c:v>0.21150449083173686</c:v>
                </c:pt>
                <c:pt idx="7">
                  <c:v>0.18428576106890229</c:v>
                </c:pt>
              </c:numCache>
            </c:numRef>
          </c:val>
          <c:extLst>
            <c:ext xmlns:c16="http://schemas.microsoft.com/office/drawing/2014/chart" uri="{C3380CC4-5D6E-409C-BE32-E72D297353CC}">
              <c16:uniqueId val="{00000004-5861-4C6E-8C67-71CFC15399AF}"/>
            </c:ext>
          </c:extLst>
        </c:ser>
        <c:ser>
          <c:idx val="5"/>
          <c:order val="5"/>
          <c:tx>
            <c:strRef>
              <c:f>'Interaction HH Classificati_25'!$A$58</c:f>
              <c:strCache>
                <c:ptCount val="1"/>
                <c:pt idx="0">
                  <c:v>Couple with individuals under 25</c:v>
                </c:pt>
              </c:strCache>
            </c:strRef>
          </c:tx>
          <c:spPr>
            <a:solidFill>
              <a:schemeClr val="accent6"/>
            </a:solidFill>
            <a:ln>
              <a:noFill/>
            </a:ln>
            <a:effectLst/>
          </c:spPr>
          <c:invertIfNegative val="0"/>
          <c:cat>
            <c:multiLvlStrRef>
              <c:f>'Interaction HH Classificati_25'!$F$51:$M$52</c:f>
              <c:multiLvlStrCache>
                <c:ptCount val="8"/>
                <c:lvl>
                  <c:pt idx="0">
                    <c:v>w/ people over 60</c:v>
                  </c:pt>
                  <c:pt idx="1">
                    <c:v>w/o people over 60</c:v>
                  </c:pt>
                  <c:pt idx="4">
                    <c:v>Female dominated</c:v>
                  </c:pt>
                  <c:pt idx="5">
                    <c:v>Male dominated</c:v>
                  </c:pt>
                  <c:pt idx="6">
                    <c:v>Equal earners</c:v>
                  </c:pt>
                </c:lvl>
                <c:lvl>
                  <c:pt idx="0">
                    <c:v>No earners</c:v>
                  </c:pt>
                  <c:pt idx="2">
                    <c:v>Only female earners</c:v>
                  </c:pt>
                  <c:pt idx="3">
                    <c:v>Only male earners</c:v>
                  </c:pt>
                  <c:pt idx="4">
                    <c:v>Dual earners</c:v>
                  </c:pt>
                  <c:pt idx="7">
                    <c:v>Total</c:v>
                  </c:pt>
                </c:lvl>
              </c:multiLvlStrCache>
            </c:multiLvlStrRef>
          </c:cat>
          <c:val>
            <c:numRef>
              <c:f>'Interaction HH Classificati_25'!$F$58:$M$58</c:f>
              <c:numCache>
                <c:formatCode>0%</c:formatCode>
                <c:ptCount val="8"/>
                <c:pt idx="0">
                  <c:v>1.9170777229702705E-2</c:v>
                </c:pt>
                <c:pt idx="1">
                  <c:v>0.12411334618602451</c:v>
                </c:pt>
                <c:pt idx="2">
                  <c:v>7.8870685087826548E-2</c:v>
                </c:pt>
                <c:pt idx="3">
                  <c:v>0.34379128439667195</c:v>
                </c:pt>
                <c:pt idx="4">
                  <c:v>0.48318830859381895</c:v>
                </c:pt>
                <c:pt idx="5">
                  <c:v>0.59532739303886673</c:v>
                </c:pt>
                <c:pt idx="6">
                  <c:v>0.56509840021894364</c:v>
                </c:pt>
                <c:pt idx="7">
                  <c:v>0.31568640293424155</c:v>
                </c:pt>
              </c:numCache>
            </c:numRef>
          </c:val>
          <c:extLst>
            <c:ext xmlns:c16="http://schemas.microsoft.com/office/drawing/2014/chart" uri="{C3380CC4-5D6E-409C-BE32-E72D297353CC}">
              <c16:uniqueId val="{00000005-5861-4C6E-8C67-71CFC15399AF}"/>
            </c:ext>
          </c:extLst>
        </c:ser>
        <c:ser>
          <c:idx val="6"/>
          <c:order val="6"/>
          <c:tx>
            <c:strRef>
              <c:f>'Interaction HH Classificati_25'!$A$59</c:f>
              <c:strCache>
                <c:ptCount val="1"/>
                <c:pt idx="0">
                  <c:v>Extended, without individuals under 25</c:v>
                </c:pt>
              </c:strCache>
            </c:strRef>
          </c:tx>
          <c:spPr>
            <a:solidFill>
              <a:schemeClr val="accent1">
                <a:lumMod val="60000"/>
              </a:schemeClr>
            </a:solidFill>
            <a:ln>
              <a:noFill/>
            </a:ln>
            <a:effectLst/>
          </c:spPr>
          <c:invertIfNegative val="0"/>
          <c:cat>
            <c:multiLvlStrRef>
              <c:f>'Interaction HH Classificati_25'!$F$51:$M$52</c:f>
              <c:multiLvlStrCache>
                <c:ptCount val="8"/>
                <c:lvl>
                  <c:pt idx="0">
                    <c:v>w/ people over 60</c:v>
                  </c:pt>
                  <c:pt idx="1">
                    <c:v>w/o people over 60</c:v>
                  </c:pt>
                  <c:pt idx="4">
                    <c:v>Female dominated</c:v>
                  </c:pt>
                  <c:pt idx="5">
                    <c:v>Male dominated</c:v>
                  </c:pt>
                  <c:pt idx="6">
                    <c:v>Equal earners</c:v>
                  </c:pt>
                </c:lvl>
                <c:lvl>
                  <c:pt idx="0">
                    <c:v>No earners</c:v>
                  </c:pt>
                  <c:pt idx="2">
                    <c:v>Only female earners</c:v>
                  </c:pt>
                  <c:pt idx="3">
                    <c:v>Only male earners</c:v>
                  </c:pt>
                  <c:pt idx="4">
                    <c:v>Dual earners</c:v>
                  </c:pt>
                  <c:pt idx="7">
                    <c:v>Total</c:v>
                  </c:pt>
                </c:lvl>
              </c:multiLvlStrCache>
            </c:multiLvlStrRef>
          </c:cat>
          <c:val>
            <c:numRef>
              <c:f>'Interaction HH Classificati_25'!$F$59:$M$59</c:f>
              <c:numCache>
                <c:formatCode>0%</c:formatCode>
                <c:ptCount val="8"/>
                <c:pt idx="0">
                  <c:v>0.11551793094254099</c:v>
                </c:pt>
                <c:pt idx="1">
                  <c:v>2.7208904732457895E-2</c:v>
                </c:pt>
                <c:pt idx="2">
                  <c:v>0.13554529893630027</c:v>
                </c:pt>
                <c:pt idx="3">
                  <c:v>0.15830020411463372</c:v>
                </c:pt>
                <c:pt idx="4">
                  <c:v>0.1055562419471557</c:v>
                </c:pt>
                <c:pt idx="5">
                  <c:v>7.8414275817586782E-2</c:v>
                </c:pt>
                <c:pt idx="6">
                  <c:v>7.7214937924514213E-2</c:v>
                </c:pt>
                <c:pt idx="7">
                  <c:v>0.11715434241550957</c:v>
                </c:pt>
              </c:numCache>
            </c:numRef>
          </c:val>
          <c:extLst>
            <c:ext xmlns:c16="http://schemas.microsoft.com/office/drawing/2014/chart" uri="{C3380CC4-5D6E-409C-BE32-E72D297353CC}">
              <c16:uniqueId val="{00000006-5861-4C6E-8C67-71CFC15399AF}"/>
            </c:ext>
          </c:extLst>
        </c:ser>
        <c:ser>
          <c:idx val="7"/>
          <c:order val="7"/>
          <c:tx>
            <c:strRef>
              <c:f>'Interaction HH Classificati_25'!$A$60</c:f>
              <c:strCache>
                <c:ptCount val="1"/>
                <c:pt idx="0">
                  <c:v>Extended, with individuals under 25</c:v>
                </c:pt>
              </c:strCache>
            </c:strRef>
          </c:tx>
          <c:spPr>
            <a:solidFill>
              <a:schemeClr val="accent2">
                <a:lumMod val="60000"/>
              </a:schemeClr>
            </a:solidFill>
            <a:ln>
              <a:noFill/>
            </a:ln>
            <a:effectLst/>
          </c:spPr>
          <c:invertIfNegative val="0"/>
          <c:cat>
            <c:multiLvlStrRef>
              <c:f>'Interaction HH Classificati_25'!$F$51:$M$52</c:f>
              <c:multiLvlStrCache>
                <c:ptCount val="8"/>
                <c:lvl>
                  <c:pt idx="0">
                    <c:v>w/ people over 60</c:v>
                  </c:pt>
                  <c:pt idx="1">
                    <c:v>w/o people over 60</c:v>
                  </c:pt>
                  <c:pt idx="4">
                    <c:v>Female dominated</c:v>
                  </c:pt>
                  <c:pt idx="5">
                    <c:v>Male dominated</c:v>
                  </c:pt>
                  <c:pt idx="6">
                    <c:v>Equal earners</c:v>
                  </c:pt>
                </c:lvl>
                <c:lvl>
                  <c:pt idx="0">
                    <c:v>No earners</c:v>
                  </c:pt>
                  <c:pt idx="2">
                    <c:v>Only female earners</c:v>
                  </c:pt>
                  <c:pt idx="3">
                    <c:v>Only male earners</c:v>
                  </c:pt>
                  <c:pt idx="4">
                    <c:v>Dual earners</c:v>
                  </c:pt>
                  <c:pt idx="7">
                    <c:v>Total</c:v>
                  </c:pt>
                </c:lvl>
              </c:multiLvlStrCache>
            </c:multiLvlStrRef>
          </c:cat>
          <c:val>
            <c:numRef>
              <c:f>'Interaction HH Classificati_25'!$F$60:$M$60</c:f>
              <c:numCache>
                <c:formatCode>0%</c:formatCode>
                <c:ptCount val="8"/>
                <c:pt idx="0">
                  <c:v>1.9308536639559171E-2</c:v>
                </c:pt>
                <c:pt idx="1">
                  <c:v>3.0700956676730565E-2</c:v>
                </c:pt>
                <c:pt idx="2">
                  <c:v>0.11956942576517096</c:v>
                </c:pt>
                <c:pt idx="3">
                  <c:v>6.7608014474137848E-2</c:v>
                </c:pt>
                <c:pt idx="4">
                  <c:v>0.14446582063999153</c:v>
                </c:pt>
                <c:pt idx="5">
                  <c:v>0.13199636893528582</c:v>
                </c:pt>
                <c:pt idx="6">
                  <c:v>0.12014529893264997</c:v>
                </c:pt>
                <c:pt idx="7">
                  <c:v>9.0057636887608067E-2</c:v>
                </c:pt>
              </c:numCache>
            </c:numRef>
          </c:val>
          <c:extLst>
            <c:ext xmlns:c16="http://schemas.microsoft.com/office/drawing/2014/chart" uri="{C3380CC4-5D6E-409C-BE32-E72D297353CC}">
              <c16:uniqueId val="{00000007-5861-4C6E-8C67-71CFC15399AF}"/>
            </c:ext>
          </c:extLst>
        </c:ser>
        <c:dLbls>
          <c:showLegendKey val="0"/>
          <c:showVal val="0"/>
          <c:showCatName val="0"/>
          <c:showSerName val="0"/>
          <c:showPercent val="0"/>
          <c:showBubbleSize val="0"/>
        </c:dLbls>
        <c:gapWidth val="150"/>
        <c:overlap val="100"/>
        <c:axId val="771173727"/>
        <c:axId val="771172895"/>
      </c:barChart>
      <c:catAx>
        <c:axId val="77117372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1172895"/>
        <c:crosses val="autoZero"/>
        <c:auto val="1"/>
        <c:lblAlgn val="ctr"/>
        <c:lblOffset val="100"/>
        <c:noMultiLvlLbl val="0"/>
      </c:catAx>
      <c:valAx>
        <c:axId val="771172895"/>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117372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percentStacked"/>
        <c:varyColors val="0"/>
        <c:ser>
          <c:idx val="0"/>
          <c:order val="0"/>
          <c:tx>
            <c:strRef>
              <c:f>'Interaction HH Classificati_25'!$F$65:$F$66</c:f>
              <c:strCache>
                <c:ptCount val="2"/>
                <c:pt idx="0">
                  <c:v>No earners</c:v>
                </c:pt>
                <c:pt idx="1">
                  <c:v>w/ people over 60</c:v>
                </c:pt>
              </c:strCache>
            </c:strRef>
          </c:tx>
          <c:spPr>
            <a:solidFill>
              <a:schemeClr val="accent1"/>
            </a:solidFill>
            <a:ln>
              <a:noFill/>
            </a:ln>
            <a:effectLst/>
          </c:spPr>
          <c:invertIfNegative val="0"/>
          <c:cat>
            <c:strRef>
              <c:f>'Interaction HH Classificati_25'!$A$67:$E$75</c:f>
              <c:strCache>
                <c:ptCount val="9"/>
                <c:pt idx="0">
                  <c:v>Single-person female</c:v>
                </c:pt>
                <c:pt idx="1">
                  <c:v>Single-person male</c:v>
                </c:pt>
                <c:pt idx="2">
                  <c:v>Single-woman with individuals under 25</c:v>
                </c:pt>
                <c:pt idx="3">
                  <c:v>Single-man with individuals under 25</c:v>
                </c:pt>
                <c:pt idx="4">
                  <c:v>Couple without individuals under 25</c:v>
                </c:pt>
                <c:pt idx="5">
                  <c:v>Couple with individuals under 25</c:v>
                </c:pt>
                <c:pt idx="6">
                  <c:v>Extended, without individuals under 25</c:v>
                </c:pt>
                <c:pt idx="7">
                  <c:v>Extended, with individuals under 25</c:v>
                </c:pt>
                <c:pt idx="8">
                  <c:v>Total</c:v>
                </c:pt>
              </c:strCache>
            </c:strRef>
          </c:cat>
          <c:val>
            <c:numRef>
              <c:f>'Interaction HH Classificati_25'!$F$67:$F$75</c:f>
              <c:numCache>
                <c:formatCode>0%</c:formatCode>
                <c:ptCount val="9"/>
                <c:pt idx="0">
                  <c:v>0.65639827548833063</c:v>
                </c:pt>
                <c:pt idx="1">
                  <c:v>0.24196219571995595</c:v>
                </c:pt>
                <c:pt idx="2">
                  <c:v>3.43459661157492E-2</c:v>
                </c:pt>
                <c:pt idx="3">
                  <c:v>5.145307289185326E-2</c:v>
                </c:pt>
                <c:pt idx="4">
                  <c:v>0.34584662407705224</c:v>
                </c:pt>
                <c:pt idx="5">
                  <c:v>1.1187991452104815E-2</c:v>
                </c:pt>
                <c:pt idx="6">
                  <c:v>0.18165999287196796</c:v>
                </c:pt>
                <c:pt idx="7">
                  <c:v>3.95E-2</c:v>
                </c:pt>
                <c:pt idx="8">
                  <c:v>0.18423336389834949</c:v>
                </c:pt>
              </c:numCache>
            </c:numRef>
          </c:val>
          <c:extLst>
            <c:ext xmlns:c16="http://schemas.microsoft.com/office/drawing/2014/chart" uri="{C3380CC4-5D6E-409C-BE32-E72D297353CC}">
              <c16:uniqueId val="{00000000-CCDD-4570-AB68-2C89E05B6E34}"/>
            </c:ext>
          </c:extLst>
        </c:ser>
        <c:ser>
          <c:idx val="1"/>
          <c:order val="1"/>
          <c:tx>
            <c:strRef>
              <c:f>'Interaction HH Classificati_25'!$G$65:$G$66</c:f>
              <c:strCache>
                <c:ptCount val="2"/>
                <c:pt idx="0">
                  <c:v>No earners</c:v>
                </c:pt>
                <c:pt idx="1">
                  <c:v>w/o people over 60</c:v>
                </c:pt>
              </c:strCache>
            </c:strRef>
          </c:tx>
          <c:spPr>
            <a:solidFill>
              <a:schemeClr val="accent2"/>
            </a:solidFill>
            <a:ln>
              <a:noFill/>
            </a:ln>
            <a:effectLst/>
          </c:spPr>
          <c:invertIfNegative val="0"/>
          <c:cat>
            <c:strRef>
              <c:f>'Interaction HH Classificati_25'!$A$67:$E$75</c:f>
              <c:strCache>
                <c:ptCount val="9"/>
                <c:pt idx="0">
                  <c:v>Single-person female</c:v>
                </c:pt>
                <c:pt idx="1">
                  <c:v>Single-person male</c:v>
                </c:pt>
                <c:pt idx="2">
                  <c:v>Single-woman with individuals under 25</c:v>
                </c:pt>
                <c:pt idx="3">
                  <c:v>Single-man with individuals under 25</c:v>
                </c:pt>
                <c:pt idx="4">
                  <c:v>Couple without individuals under 25</c:v>
                </c:pt>
                <c:pt idx="5">
                  <c:v>Couple with individuals under 25</c:v>
                </c:pt>
                <c:pt idx="6">
                  <c:v>Extended, without individuals under 25</c:v>
                </c:pt>
                <c:pt idx="7">
                  <c:v>Extended, with individuals under 25</c:v>
                </c:pt>
                <c:pt idx="8">
                  <c:v>Total</c:v>
                </c:pt>
              </c:strCache>
            </c:strRef>
          </c:cat>
          <c:val>
            <c:numRef>
              <c:f>'Interaction HH Classificati_25'!$G$67:$G$75</c:f>
              <c:numCache>
                <c:formatCode>0%</c:formatCode>
                <c:ptCount val="9"/>
                <c:pt idx="0">
                  <c:v>3.2603546970463325E-2</c:v>
                </c:pt>
                <c:pt idx="1">
                  <c:v>5.0248420195590428E-2</c:v>
                </c:pt>
                <c:pt idx="2">
                  <c:v>9.799672087895521E-2</c:v>
                </c:pt>
                <c:pt idx="3">
                  <c:v>3.6948811603409029E-2</c:v>
                </c:pt>
                <c:pt idx="4">
                  <c:v>8.4275902511839491E-3</c:v>
                </c:pt>
                <c:pt idx="5">
                  <c:v>8.8487313014792846E-3</c:v>
                </c:pt>
                <c:pt idx="6">
                  <c:v>5.2272234917573393E-3</c:v>
                </c:pt>
                <c:pt idx="7">
                  <c:v>7.6727272727272729E-3</c:v>
                </c:pt>
                <c:pt idx="8">
                  <c:v>2.2507040869793032E-2</c:v>
                </c:pt>
              </c:numCache>
            </c:numRef>
          </c:val>
          <c:extLst>
            <c:ext xmlns:c16="http://schemas.microsoft.com/office/drawing/2014/chart" uri="{C3380CC4-5D6E-409C-BE32-E72D297353CC}">
              <c16:uniqueId val="{00000001-CCDD-4570-AB68-2C89E05B6E34}"/>
            </c:ext>
          </c:extLst>
        </c:ser>
        <c:ser>
          <c:idx val="2"/>
          <c:order val="2"/>
          <c:tx>
            <c:strRef>
              <c:f>'Interaction HH Classificati_25'!$H$65:$H$66</c:f>
              <c:strCache>
                <c:ptCount val="2"/>
                <c:pt idx="0">
                  <c:v>Only female earners</c:v>
                </c:pt>
              </c:strCache>
            </c:strRef>
          </c:tx>
          <c:spPr>
            <a:solidFill>
              <a:schemeClr val="accent3"/>
            </a:solidFill>
            <a:ln>
              <a:noFill/>
            </a:ln>
            <a:effectLst/>
          </c:spPr>
          <c:invertIfNegative val="0"/>
          <c:cat>
            <c:strRef>
              <c:f>'Interaction HH Classificati_25'!$A$67:$E$75</c:f>
              <c:strCache>
                <c:ptCount val="9"/>
                <c:pt idx="0">
                  <c:v>Single-person female</c:v>
                </c:pt>
                <c:pt idx="1">
                  <c:v>Single-person male</c:v>
                </c:pt>
                <c:pt idx="2">
                  <c:v>Single-woman with individuals under 25</c:v>
                </c:pt>
                <c:pt idx="3">
                  <c:v>Single-man with individuals under 25</c:v>
                </c:pt>
                <c:pt idx="4">
                  <c:v>Couple without individuals under 25</c:v>
                </c:pt>
                <c:pt idx="5">
                  <c:v>Couple with individuals under 25</c:v>
                </c:pt>
                <c:pt idx="6">
                  <c:v>Extended, without individuals under 25</c:v>
                </c:pt>
                <c:pt idx="7">
                  <c:v>Extended, with individuals under 25</c:v>
                </c:pt>
                <c:pt idx="8">
                  <c:v>Total</c:v>
                </c:pt>
              </c:strCache>
            </c:strRef>
          </c:cat>
          <c:val>
            <c:numRef>
              <c:f>'Interaction HH Classificati_25'!$H$67:$H$75</c:f>
              <c:numCache>
                <c:formatCode>0%</c:formatCode>
                <c:ptCount val="9"/>
                <c:pt idx="0">
                  <c:v>0.31099817754120601</c:v>
                </c:pt>
                <c:pt idx="1">
                  <c:v>0</c:v>
                </c:pt>
                <c:pt idx="2">
                  <c:v>0.69066958144092871</c:v>
                </c:pt>
                <c:pt idx="3">
                  <c:v>1.6621671695516385E-2</c:v>
                </c:pt>
                <c:pt idx="4">
                  <c:v>8.1685873457311167E-2</c:v>
                </c:pt>
                <c:pt idx="5">
                  <c:v>4.0151247951202305E-2</c:v>
                </c:pt>
                <c:pt idx="6">
                  <c:v>0.18593681209249671</c:v>
                </c:pt>
                <c:pt idx="7">
                  <c:v>0.21337272727272727</c:v>
                </c:pt>
                <c:pt idx="8">
                  <c:v>0.16070867173172648</c:v>
                </c:pt>
              </c:numCache>
            </c:numRef>
          </c:val>
          <c:extLst>
            <c:ext xmlns:c16="http://schemas.microsoft.com/office/drawing/2014/chart" uri="{C3380CC4-5D6E-409C-BE32-E72D297353CC}">
              <c16:uniqueId val="{00000002-CCDD-4570-AB68-2C89E05B6E34}"/>
            </c:ext>
          </c:extLst>
        </c:ser>
        <c:ser>
          <c:idx val="3"/>
          <c:order val="3"/>
          <c:tx>
            <c:strRef>
              <c:f>'Interaction HH Classificati_25'!$I$65:$I$66</c:f>
              <c:strCache>
                <c:ptCount val="2"/>
                <c:pt idx="0">
                  <c:v>Only male earners</c:v>
                </c:pt>
              </c:strCache>
            </c:strRef>
          </c:tx>
          <c:spPr>
            <a:solidFill>
              <a:schemeClr val="accent4"/>
            </a:solidFill>
            <a:ln>
              <a:noFill/>
            </a:ln>
            <a:effectLst/>
          </c:spPr>
          <c:invertIfNegative val="0"/>
          <c:cat>
            <c:strRef>
              <c:f>'Interaction HH Classificati_25'!$A$67:$E$75</c:f>
              <c:strCache>
                <c:ptCount val="9"/>
                <c:pt idx="0">
                  <c:v>Single-person female</c:v>
                </c:pt>
                <c:pt idx="1">
                  <c:v>Single-person male</c:v>
                </c:pt>
                <c:pt idx="2">
                  <c:v>Single-woman with individuals under 25</c:v>
                </c:pt>
                <c:pt idx="3">
                  <c:v>Single-man with individuals under 25</c:v>
                </c:pt>
                <c:pt idx="4">
                  <c:v>Couple without individuals under 25</c:v>
                </c:pt>
                <c:pt idx="5">
                  <c:v>Couple with individuals under 25</c:v>
                </c:pt>
                <c:pt idx="6">
                  <c:v>Extended, without individuals under 25</c:v>
                </c:pt>
                <c:pt idx="7">
                  <c:v>Extended, with individuals under 25</c:v>
                </c:pt>
                <c:pt idx="8">
                  <c:v>Total</c:v>
                </c:pt>
              </c:strCache>
            </c:strRef>
          </c:cat>
          <c:val>
            <c:numRef>
              <c:f>'Interaction HH Classificati_25'!$I$67:$I$75</c:f>
              <c:numCache>
                <c:formatCode>0%</c:formatCode>
                <c:ptCount val="9"/>
                <c:pt idx="0">
                  <c:v>0</c:v>
                </c:pt>
                <c:pt idx="1">
                  <c:v>0.70778938408445358</c:v>
                </c:pt>
                <c:pt idx="2">
                  <c:v>3.966040367110793E-2</c:v>
                </c:pt>
                <c:pt idx="3">
                  <c:v>0.78301836853528139</c:v>
                </c:pt>
                <c:pt idx="4">
                  <c:v>0.20228437897056342</c:v>
                </c:pt>
                <c:pt idx="5">
                  <c:v>0.29222597979211185</c:v>
                </c:pt>
                <c:pt idx="6">
                  <c:v>0.36257922947371363</c:v>
                </c:pt>
                <c:pt idx="7">
                  <c:v>0.20144545454545454</c:v>
                </c:pt>
                <c:pt idx="8">
                  <c:v>0.26833655357610692</c:v>
                </c:pt>
              </c:numCache>
            </c:numRef>
          </c:val>
          <c:extLst>
            <c:ext xmlns:c16="http://schemas.microsoft.com/office/drawing/2014/chart" uri="{C3380CC4-5D6E-409C-BE32-E72D297353CC}">
              <c16:uniqueId val="{00000003-CCDD-4570-AB68-2C89E05B6E34}"/>
            </c:ext>
          </c:extLst>
        </c:ser>
        <c:ser>
          <c:idx val="4"/>
          <c:order val="4"/>
          <c:tx>
            <c:strRef>
              <c:f>'Interaction HH Classificati_25'!$J$65:$J$66</c:f>
              <c:strCache>
                <c:ptCount val="2"/>
                <c:pt idx="0">
                  <c:v>Dual earners</c:v>
                </c:pt>
                <c:pt idx="1">
                  <c:v>Female dominated</c:v>
                </c:pt>
              </c:strCache>
            </c:strRef>
          </c:tx>
          <c:spPr>
            <a:solidFill>
              <a:schemeClr val="accent5"/>
            </a:solidFill>
            <a:ln>
              <a:noFill/>
            </a:ln>
            <a:effectLst/>
          </c:spPr>
          <c:invertIfNegative val="0"/>
          <c:cat>
            <c:strRef>
              <c:f>'Interaction HH Classificati_25'!$A$67:$E$75</c:f>
              <c:strCache>
                <c:ptCount val="9"/>
                <c:pt idx="0">
                  <c:v>Single-person female</c:v>
                </c:pt>
                <c:pt idx="1">
                  <c:v>Single-person male</c:v>
                </c:pt>
                <c:pt idx="2">
                  <c:v>Single-woman with individuals under 25</c:v>
                </c:pt>
                <c:pt idx="3">
                  <c:v>Single-man with individuals under 25</c:v>
                </c:pt>
                <c:pt idx="4">
                  <c:v>Couple without individuals under 25</c:v>
                </c:pt>
                <c:pt idx="5">
                  <c:v>Couple with individuals under 25</c:v>
                </c:pt>
                <c:pt idx="6">
                  <c:v>Extended, without individuals under 25</c:v>
                </c:pt>
                <c:pt idx="7">
                  <c:v>Extended, with individuals under 25</c:v>
                </c:pt>
                <c:pt idx="8">
                  <c:v>Total</c:v>
                </c:pt>
              </c:strCache>
            </c:strRef>
          </c:cat>
          <c:val>
            <c:numRef>
              <c:f>'Interaction HH Classificati_25'!$J$67:$J$75</c:f>
              <c:numCache>
                <c:formatCode>0%</c:formatCode>
                <c:ptCount val="9"/>
                <c:pt idx="0">
                  <c:v>0</c:v>
                </c:pt>
                <c:pt idx="1">
                  <c:v>0</c:v>
                </c:pt>
                <c:pt idx="2">
                  <c:v>8.271300152648739E-2</c:v>
                </c:pt>
                <c:pt idx="3">
                  <c:v>1.1169339897305595E-2</c:v>
                </c:pt>
                <c:pt idx="4">
                  <c:v>9.4369463424169464E-2</c:v>
                </c:pt>
                <c:pt idx="5">
                  <c:v>0.14199464719185045</c:v>
                </c:pt>
                <c:pt idx="6">
                  <c:v>8.3586658001215952E-2</c:v>
                </c:pt>
                <c:pt idx="7">
                  <c:v>0.14881818181818182</c:v>
                </c:pt>
                <c:pt idx="8">
                  <c:v>9.277082787529474E-2</c:v>
                </c:pt>
              </c:numCache>
            </c:numRef>
          </c:val>
          <c:extLst>
            <c:ext xmlns:c16="http://schemas.microsoft.com/office/drawing/2014/chart" uri="{C3380CC4-5D6E-409C-BE32-E72D297353CC}">
              <c16:uniqueId val="{00000004-CCDD-4570-AB68-2C89E05B6E34}"/>
            </c:ext>
          </c:extLst>
        </c:ser>
        <c:ser>
          <c:idx val="5"/>
          <c:order val="5"/>
          <c:tx>
            <c:strRef>
              <c:f>'Interaction HH Classificati_25'!$K$65:$K$66</c:f>
              <c:strCache>
                <c:ptCount val="2"/>
                <c:pt idx="0">
                  <c:v>Dual earners</c:v>
                </c:pt>
                <c:pt idx="1">
                  <c:v>Male dominated</c:v>
                </c:pt>
              </c:strCache>
            </c:strRef>
          </c:tx>
          <c:spPr>
            <a:solidFill>
              <a:schemeClr val="accent6"/>
            </a:solidFill>
            <a:ln>
              <a:noFill/>
            </a:ln>
            <a:effectLst/>
          </c:spPr>
          <c:invertIfNegative val="0"/>
          <c:cat>
            <c:strRef>
              <c:f>'Interaction HH Classificati_25'!$A$67:$E$75</c:f>
              <c:strCache>
                <c:ptCount val="9"/>
                <c:pt idx="0">
                  <c:v>Single-person female</c:v>
                </c:pt>
                <c:pt idx="1">
                  <c:v>Single-person male</c:v>
                </c:pt>
                <c:pt idx="2">
                  <c:v>Single-woman with individuals under 25</c:v>
                </c:pt>
                <c:pt idx="3">
                  <c:v>Single-man with individuals under 25</c:v>
                </c:pt>
                <c:pt idx="4">
                  <c:v>Couple without individuals under 25</c:v>
                </c:pt>
                <c:pt idx="5">
                  <c:v>Couple with individuals under 25</c:v>
                </c:pt>
                <c:pt idx="6">
                  <c:v>Extended, without individuals under 25</c:v>
                </c:pt>
                <c:pt idx="7">
                  <c:v>Extended, with individuals under 25</c:v>
                </c:pt>
                <c:pt idx="8">
                  <c:v>Total</c:v>
                </c:pt>
              </c:strCache>
            </c:strRef>
          </c:cat>
          <c:val>
            <c:numRef>
              <c:f>'Interaction HH Classificati_25'!$K$67:$K$75</c:f>
              <c:numCache>
                <c:formatCode>0%</c:formatCode>
                <c:ptCount val="9"/>
                <c:pt idx="0">
                  <c:v>0</c:v>
                </c:pt>
                <c:pt idx="1">
                  <c:v>0</c:v>
                </c:pt>
                <c:pt idx="2">
                  <c:v>3.7332981550232743E-2</c:v>
                </c:pt>
                <c:pt idx="3">
                  <c:v>8.7078502990842202E-2</c:v>
                </c:pt>
                <c:pt idx="4">
                  <c:v>0.19185318133757454</c:v>
                </c:pt>
                <c:pt idx="5">
                  <c:v>0.38778294155480403</c:v>
                </c:pt>
                <c:pt idx="6">
                  <c:v>0.13763391266064279</c:v>
                </c:pt>
                <c:pt idx="7">
                  <c:v>0.3013909090909091</c:v>
                </c:pt>
                <c:pt idx="8">
                  <c:v>0.20563105842284515</c:v>
                </c:pt>
              </c:numCache>
            </c:numRef>
          </c:val>
          <c:extLst>
            <c:ext xmlns:c16="http://schemas.microsoft.com/office/drawing/2014/chart" uri="{C3380CC4-5D6E-409C-BE32-E72D297353CC}">
              <c16:uniqueId val="{00000005-CCDD-4570-AB68-2C89E05B6E34}"/>
            </c:ext>
          </c:extLst>
        </c:ser>
        <c:ser>
          <c:idx val="6"/>
          <c:order val="6"/>
          <c:tx>
            <c:strRef>
              <c:f>'Interaction HH Classificati_25'!$L$65:$L$66</c:f>
              <c:strCache>
                <c:ptCount val="2"/>
                <c:pt idx="0">
                  <c:v>Dual earners</c:v>
                </c:pt>
                <c:pt idx="1">
                  <c:v>Equal earners</c:v>
                </c:pt>
              </c:strCache>
            </c:strRef>
          </c:tx>
          <c:spPr>
            <a:solidFill>
              <a:schemeClr val="accent1">
                <a:lumMod val="60000"/>
              </a:schemeClr>
            </a:solidFill>
            <a:ln>
              <a:noFill/>
            </a:ln>
            <a:effectLst/>
          </c:spPr>
          <c:invertIfNegative val="0"/>
          <c:cat>
            <c:strRef>
              <c:f>'Interaction HH Classificati_25'!$A$67:$E$75</c:f>
              <c:strCache>
                <c:ptCount val="9"/>
                <c:pt idx="0">
                  <c:v>Single-person female</c:v>
                </c:pt>
                <c:pt idx="1">
                  <c:v>Single-person male</c:v>
                </c:pt>
                <c:pt idx="2">
                  <c:v>Single-woman with individuals under 25</c:v>
                </c:pt>
                <c:pt idx="3">
                  <c:v>Single-man with individuals under 25</c:v>
                </c:pt>
                <c:pt idx="4">
                  <c:v>Couple without individuals under 25</c:v>
                </c:pt>
                <c:pt idx="5">
                  <c:v>Couple with individuals under 25</c:v>
                </c:pt>
                <c:pt idx="6">
                  <c:v>Extended, without individuals under 25</c:v>
                </c:pt>
                <c:pt idx="7">
                  <c:v>Extended, with individuals under 25</c:v>
                </c:pt>
                <c:pt idx="8">
                  <c:v>Total</c:v>
                </c:pt>
              </c:strCache>
            </c:strRef>
          </c:cat>
          <c:val>
            <c:numRef>
              <c:f>'Interaction HH Classificati_25'!$L$67:$L$75</c:f>
              <c:numCache>
                <c:formatCode>0%</c:formatCode>
                <c:ptCount val="9"/>
                <c:pt idx="0">
                  <c:v>0</c:v>
                </c:pt>
                <c:pt idx="1">
                  <c:v>0</c:v>
                </c:pt>
                <c:pt idx="2">
                  <c:v>1.728134481653883E-2</c:v>
                </c:pt>
                <c:pt idx="3">
                  <c:v>1.3710232385792177E-2</c:v>
                </c:pt>
                <c:pt idx="4">
                  <c:v>7.5532888482145233E-2</c:v>
                </c:pt>
                <c:pt idx="5">
                  <c:v>0.11780846075644723</c:v>
                </c:pt>
                <c:pt idx="6">
                  <c:v>4.337617140820562E-2</c:v>
                </c:pt>
                <c:pt idx="7">
                  <c:v>8.7800000000000003E-2</c:v>
                </c:pt>
                <c:pt idx="8">
                  <c:v>6.5812483625884197E-2</c:v>
                </c:pt>
              </c:numCache>
            </c:numRef>
          </c:val>
          <c:extLst>
            <c:ext xmlns:c16="http://schemas.microsoft.com/office/drawing/2014/chart" uri="{C3380CC4-5D6E-409C-BE32-E72D297353CC}">
              <c16:uniqueId val="{00000006-CCDD-4570-AB68-2C89E05B6E34}"/>
            </c:ext>
          </c:extLst>
        </c:ser>
        <c:dLbls>
          <c:showLegendKey val="0"/>
          <c:showVal val="0"/>
          <c:showCatName val="0"/>
          <c:showSerName val="0"/>
          <c:showPercent val="0"/>
          <c:showBubbleSize val="0"/>
        </c:dLbls>
        <c:gapWidth val="150"/>
        <c:overlap val="100"/>
        <c:axId val="2051238239"/>
        <c:axId val="2051243647"/>
      </c:barChart>
      <c:catAx>
        <c:axId val="205123823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2051243647"/>
        <c:crosses val="autoZero"/>
        <c:auto val="1"/>
        <c:lblAlgn val="ctr"/>
        <c:lblOffset val="100"/>
        <c:noMultiLvlLbl val="0"/>
      </c:catAx>
      <c:valAx>
        <c:axId val="2051243647"/>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5123823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2733814523184587E-2"/>
          <c:y val="0.12050397290430084"/>
          <c:w val="0.89671062992125972"/>
          <c:h val="0.70537236062662689"/>
        </c:manualLayout>
      </c:layout>
      <c:barChart>
        <c:barDir val="col"/>
        <c:grouping val="clustered"/>
        <c:varyColors val="0"/>
        <c:ser>
          <c:idx val="0"/>
          <c:order val="0"/>
          <c:tx>
            <c:strRef>
              <c:f>'Relative incidence'!$B$70</c:f>
              <c:strCache>
                <c:ptCount val="1"/>
                <c:pt idx="0">
                  <c:v>Direct taxes</c:v>
                </c:pt>
              </c:strCache>
            </c:strRef>
          </c:tx>
          <c:spPr>
            <a:solidFill>
              <a:schemeClr val="accent1"/>
            </a:solidFill>
            <a:ln>
              <a:noFill/>
            </a:ln>
            <a:effectLst/>
          </c:spPr>
          <c:invertIfNegative val="0"/>
          <c:cat>
            <c:strRef>
              <c:f>('Relative incidence'!$A$71,'Relative incidence'!$A$75,'Relative incidence'!$A$77:$A$80)</c:f>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extLst/>
            </c:strRef>
          </c:cat>
          <c:val>
            <c:numRef>
              <c:f>('Relative incidence'!$B$71,'Relative incidence'!$B$75,'Relative incidence'!$B$77:$B$80)</c:f>
              <c:numCache>
                <c:formatCode>0.0%</c:formatCode>
                <c:ptCount val="6"/>
                <c:pt idx="0">
                  <c:v>5.031468565770595E-2</c:v>
                </c:pt>
                <c:pt idx="1">
                  <c:v>3.7990030633013608E-2</c:v>
                </c:pt>
                <c:pt idx="2">
                  <c:v>5.9803917181896253E-2</c:v>
                </c:pt>
                <c:pt idx="3">
                  <c:v>5.16466420497734E-2</c:v>
                </c:pt>
                <c:pt idx="4">
                  <c:v>6.167289805773403E-2</c:v>
                </c:pt>
                <c:pt idx="5">
                  <c:v>5.1571069292067326E-2</c:v>
                </c:pt>
              </c:numCache>
              <c:extLst/>
            </c:numRef>
          </c:val>
          <c:extLst>
            <c:ext xmlns:c16="http://schemas.microsoft.com/office/drawing/2014/chart" uri="{C3380CC4-5D6E-409C-BE32-E72D297353CC}">
              <c16:uniqueId val="{00000000-A81A-4A86-A706-DEFE68775442}"/>
            </c:ext>
          </c:extLst>
        </c:ser>
        <c:ser>
          <c:idx val="2"/>
          <c:order val="1"/>
          <c:tx>
            <c:strRef>
              <c:f>'Relative incidence'!$C$70</c:f>
              <c:strCache>
                <c:ptCount val="1"/>
                <c:pt idx="0">
                  <c:v>Contributions to health</c:v>
                </c:pt>
              </c:strCache>
            </c:strRef>
          </c:tx>
          <c:spPr>
            <a:solidFill>
              <a:schemeClr val="accent3"/>
            </a:solidFill>
            <a:ln>
              <a:noFill/>
            </a:ln>
            <a:effectLst/>
          </c:spPr>
          <c:invertIfNegative val="0"/>
          <c:cat>
            <c:strRef>
              <c:f>('Relative incidence'!$A$71,'Relative incidence'!$A$75,'Relative incidence'!$A$77:$A$80)</c:f>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extLst/>
            </c:strRef>
          </c:cat>
          <c:val>
            <c:numRef>
              <c:f>('Relative incidence'!$C$71,'Relative incidence'!$C$75,'Relative incidence'!$C$77:$C$80)</c:f>
              <c:numCache>
                <c:formatCode>0.0%</c:formatCode>
                <c:ptCount val="6"/>
                <c:pt idx="0">
                  <c:v>5.4132422230296247E-2</c:v>
                </c:pt>
                <c:pt idx="1">
                  <c:v>5.2076145441912879E-2</c:v>
                </c:pt>
                <c:pt idx="2">
                  <c:v>6.6177098326813219E-2</c:v>
                </c:pt>
                <c:pt idx="3">
                  <c:v>6.2310745307571906E-2</c:v>
                </c:pt>
                <c:pt idx="4">
                  <c:v>6.5700030262623665E-2</c:v>
                </c:pt>
                <c:pt idx="5">
                  <c:v>5.5471874976977802E-2</c:v>
                </c:pt>
              </c:numCache>
              <c:extLst/>
            </c:numRef>
          </c:val>
          <c:extLst>
            <c:ext xmlns:c16="http://schemas.microsoft.com/office/drawing/2014/chart" uri="{C3380CC4-5D6E-409C-BE32-E72D297353CC}">
              <c16:uniqueId val="{00000001-A81A-4A86-A706-DEFE68775442}"/>
            </c:ext>
          </c:extLst>
        </c:ser>
        <c:ser>
          <c:idx val="1"/>
          <c:order val="2"/>
          <c:tx>
            <c:strRef>
              <c:f>'Relative incidence'!$D$70</c:f>
              <c:strCache>
                <c:ptCount val="1"/>
                <c:pt idx="0">
                  <c:v>Direct transfers</c:v>
                </c:pt>
              </c:strCache>
            </c:strRef>
          </c:tx>
          <c:spPr>
            <a:solidFill>
              <a:schemeClr val="accent2"/>
            </a:solidFill>
            <a:ln>
              <a:noFill/>
            </a:ln>
            <a:effectLst/>
          </c:spPr>
          <c:invertIfNegative val="0"/>
          <c:cat>
            <c:strRef>
              <c:f>('Relative incidence'!$A$71,'Relative incidence'!$A$75,'Relative incidence'!$A$77:$A$80)</c:f>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extLst/>
            </c:strRef>
          </c:cat>
          <c:val>
            <c:numRef>
              <c:f>('Relative incidence'!$D$71,'Relative incidence'!$D$75,'Relative incidence'!$D$77:$D$80)</c:f>
              <c:numCache>
                <c:formatCode>0.0%</c:formatCode>
                <c:ptCount val="6"/>
                <c:pt idx="0">
                  <c:v>6.1064051368539081E-3</c:v>
                </c:pt>
                <c:pt idx="1">
                  <c:v>3.8495489812105307E-2</c:v>
                </c:pt>
                <c:pt idx="2">
                  <c:v>1.3226477235497407E-2</c:v>
                </c:pt>
                <c:pt idx="3">
                  <c:v>4.6761608844782164E-2</c:v>
                </c:pt>
                <c:pt idx="4">
                  <c:v>3.4752789608636465E-3</c:v>
                </c:pt>
                <c:pt idx="5">
                  <c:v>1.4177362861859184E-2</c:v>
                </c:pt>
              </c:numCache>
              <c:extLst/>
            </c:numRef>
          </c:val>
          <c:extLst>
            <c:ext xmlns:c16="http://schemas.microsoft.com/office/drawing/2014/chart" uri="{C3380CC4-5D6E-409C-BE32-E72D297353CC}">
              <c16:uniqueId val="{00000002-A81A-4A86-A706-DEFE68775442}"/>
            </c:ext>
          </c:extLst>
        </c:ser>
        <c:dLbls>
          <c:showLegendKey val="0"/>
          <c:showVal val="0"/>
          <c:showCatName val="0"/>
          <c:showSerName val="0"/>
          <c:showPercent val="0"/>
          <c:showBubbleSize val="0"/>
        </c:dLbls>
        <c:gapWidth val="219"/>
        <c:overlap val="-27"/>
        <c:axId val="891943551"/>
        <c:axId val="256439887"/>
      </c:barChart>
      <c:catAx>
        <c:axId val="89194355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56439887"/>
        <c:crosses val="autoZero"/>
        <c:auto val="1"/>
        <c:lblAlgn val="ctr"/>
        <c:lblOffset val="100"/>
        <c:noMultiLvlLbl val="0"/>
      </c:catAx>
      <c:valAx>
        <c:axId val="256439887"/>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91943551"/>
        <c:crosses val="autoZero"/>
        <c:crossBetween val="between"/>
      </c:valAx>
      <c:spPr>
        <a:noFill/>
        <a:ln>
          <a:noFill/>
        </a:ln>
        <a:effectLst/>
      </c:spPr>
    </c:plotArea>
    <c:legend>
      <c:legendPos val="t"/>
      <c:layout>
        <c:manualLayout>
          <c:xMode val="edge"/>
          <c:yMode val="edge"/>
          <c:x val="0.16035917977246175"/>
          <c:y val="3.7571282818940809E-2"/>
          <c:w val="0.71244531711233006"/>
          <c:h val="7.9252479390339386E-2"/>
        </c:manualLayout>
      </c:layout>
      <c:overlay val="1"/>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2"/>
          <c:order val="2"/>
          <c:tx>
            <c:strRef>
              <c:f>'Relative incidence'!$J$34</c:f>
              <c:strCache>
                <c:ptCount val="1"/>
                <c:pt idx="0">
                  <c:v>IRPF - labor income</c:v>
                </c:pt>
              </c:strCache>
            </c:strRef>
          </c:tx>
          <c:spPr>
            <a:solidFill>
              <a:schemeClr val="accent1">
                <a:lumMod val="20000"/>
                <a:lumOff val="80000"/>
              </a:schemeClr>
            </a:solidFill>
            <a:ln>
              <a:solidFill>
                <a:schemeClr val="bg2">
                  <a:lumMod val="75000"/>
                </a:schemeClr>
              </a:solidFill>
            </a:ln>
            <a:effectLst/>
          </c:spPr>
          <c:invertIfNegative val="0"/>
          <c:cat>
            <c:strRef>
              <c:f>('Relative incidence'!$G$35,'Relative incidence'!$G$39,'Relative incidence'!$G$41:$G$44)</c:f>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extLst/>
            </c:strRef>
          </c:cat>
          <c:val>
            <c:numRef>
              <c:f>('Relative incidence'!$J$35,'Relative incidence'!$J$39,'Relative incidence'!$J$41:$J$44)</c:f>
              <c:numCache>
                <c:formatCode>0.0%</c:formatCode>
                <c:ptCount val="6"/>
                <c:pt idx="0">
                  <c:v>4.2478442607017421E-2</c:v>
                </c:pt>
                <c:pt idx="1">
                  <c:v>3.3930107276655172E-2</c:v>
                </c:pt>
                <c:pt idx="2">
                  <c:v>5.2947008990894578E-2</c:v>
                </c:pt>
                <c:pt idx="3">
                  <c:v>4.5115224487945839E-2</c:v>
                </c:pt>
                <c:pt idx="4">
                  <c:v>5.5917999465523456E-2</c:v>
                </c:pt>
                <c:pt idx="5">
                  <c:v>4.4107680010410495E-2</c:v>
                </c:pt>
              </c:numCache>
              <c:extLst/>
            </c:numRef>
          </c:val>
          <c:extLst>
            <c:ext xmlns:c16="http://schemas.microsoft.com/office/drawing/2014/chart" uri="{C3380CC4-5D6E-409C-BE32-E72D297353CC}">
              <c16:uniqueId val="{00000000-777F-489B-8DA0-3509C1D589BC}"/>
            </c:ext>
          </c:extLst>
        </c:ser>
        <c:ser>
          <c:idx val="3"/>
          <c:order val="3"/>
          <c:tx>
            <c:strRef>
              <c:f>'Relative incidence'!$K$34</c:f>
              <c:strCache>
                <c:ptCount val="1"/>
                <c:pt idx="0">
                  <c:v>IRPF - capital income</c:v>
                </c:pt>
              </c:strCache>
            </c:strRef>
          </c:tx>
          <c:spPr>
            <a:solidFill>
              <a:schemeClr val="accent1">
                <a:lumMod val="40000"/>
                <a:lumOff val="60000"/>
              </a:schemeClr>
            </a:solidFill>
            <a:ln>
              <a:solidFill>
                <a:schemeClr val="bg2">
                  <a:lumMod val="75000"/>
                </a:schemeClr>
              </a:solidFill>
            </a:ln>
            <a:effectLst/>
          </c:spPr>
          <c:invertIfNegative val="0"/>
          <c:cat>
            <c:strRef>
              <c:f>('Relative incidence'!$G$35,'Relative incidence'!$G$39,'Relative incidence'!$G$41:$G$44)</c:f>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extLst/>
            </c:strRef>
          </c:cat>
          <c:val>
            <c:numRef>
              <c:f>('Relative incidence'!$K$35,'Relative incidence'!$K$39,'Relative incidence'!$K$41:$K$44)</c:f>
              <c:numCache>
                <c:formatCode>0.0%</c:formatCode>
                <c:ptCount val="6"/>
                <c:pt idx="0">
                  <c:v>5.7335570144868052E-3</c:v>
                </c:pt>
                <c:pt idx="1">
                  <c:v>2.5324328668179957E-3</c:v>
                </c:pt>
                <c:pt idx="2">
                  <c:v>5.2133917460170185E-3</c:v>
                </c:pt>
                <c:pt idx="3">
                  <c:v>4.957684658169227E-3</c:v>
                </c:pt>
                <c:pt idx="4">
                  <c:v>4.1055714471919091E-3</c:v>
                </c:pt>
                <c:pt idx="5">
                  <c:v>5.6424569733808556E-3</c:v>
                </c:pt>
              </c:numCache>
              <c:extLst/>
            </c:numRef>
          </c:val>
          <c:extLst>
            <c:ext xmlns:c16="http://schemas.microsoft.com/office/drawing/2014/chart" uri="{C3380CC4-5D6E-409C-BE32-E72D297353CC}">
              <c16:uniqueId val="{00000001-777F-489B-8DA0-3509C1D589BC}"/>
            </c:ext>
          </c:extLst>
        </c:ser>
        <c:ser>
          <c:idx val="4"/>
          <c:order val="4"/>
          <c:tx>
            <c:strRef>
              <c:f>'Relative incidence'!$L$34</c:f>
              <c:strCache>
                <c:ptCount val="1"/>
                <c:pt idx="0">
                  <c:v>IRPF - pensions (IASS)</c:v>
                </c:pt>
              </c:strCache>
            </c:strRef>
          </c:tx>
          <c:spPr>
            <a:solidFill>
              <a:schemeClr val="accent1">
                <a:lumMod val="60000"/>
                <a:lumOff val="40000"/>
              </a:schemeClr>
            </a:solidFill>
            <a:ln>
              <a:solidFill>
                <a:schemeClr val="bg2">
                  <a:lumMod val="75000"/>
                </a:schemeClr>
              </a:solidFill>
            </a:ln>
            <a:effectLst/>
          </c:spPr>
          <c:invertIfNegative val="0"/>
          <c:cat>
            <c:strRef>
              <c:f>('Relative incidence'!$G$35,'Relative incidence'!$G$39,'Relative incidence'!$G$41:$G$44)</c:f>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extLst/>
            </c:strRef>
          </c:cat>
          <c:val>
            <c:numRef>
              <c:f>('Relative incidence'!$L$35,'Relative incidence'!$L$39,'Relative incidence'!$L$41:$L$44)</c:f>
              <c:numCache>
                <c:formatCode>0.0%</c:formatCode>
                <c:ptCount val="6"/>
                <c:pt idx="0">
                  <c:v>1.007773884469953E-3</c:v>
                </c:pt>
                <c:pt idx="1">
                  <c:v>5.0731750160703149E-4</c:v>
                </c:pt>
                <c:pt idx="2">
                  <c:v>1.9952588100428204E-4</c:v>
                </c:pt>
                <c:pt idx="3">
                  <c:v>2.2282869438525657E-4</c:v>
                </c:pt>
                <c:pt idx="4">
                  <c:v>9.4227834676792964E-5</c:v>
                </c:pt>
                <c:pt idx="5">
                  <c:v>5.461943448095113E-4</c:v>
                </c:pt>
              </c:numCache>
              <c:extLst/>
            </c:numRef>
          </c:val>
          <c:extLst>
            <c:ext xmlns:c16="http://schemas.microsoft.com/office/drawing/2014/chart" uri="{C3380CC4-5D6E-409C-BE32-E72D297353CC}">
              <c16:uniqueId val="{00000002-777F-489B-8DA0-3509C1D589BC}"/>
            </c:ext>
          </c:extLst>
        </c:ser>
        <c:ser>
          <c:idx val="5"/>
          <c:order val="5"/>
          <c:tx>
            <c:strRef>
              <c:f>'Relative incidence'!$M$34</c:f>
              <c:strCache>
                <c:ptCount val="1"/>
                <c:pt idx="0">
                  <c:v>FRL</c:v>
                </c:pt>
              </c:strCache>
            </c:strRef>
          </c:tx>
          <c:spPr>
            <a:solidFill>
              <a:schemeClr val="accent1">
                <a:lumMod val="75000"/>
              </a:schemeClr>
            </a:solidFill>
            <a:ln>
              <a:solidFill>
                <a:schemeClr val="bg2">
                  <a:lumMod val="75000"/>
                </a:schemeClr>
              </a:solidFill>
            </a:ln>
            <a:effectLst/>
          </c:spPr>
          <c:invertIfNegative val="0"/>
          <c:cat>
            <c:strRef>
              <c:f>('Relative incidence'!$G$35,'Relative incidence'!$G$39,'Relative incidence'!$G$41:$G$44)</c:f>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extLst/>
            </c:strRef>
          </c:cat>
          <c:val>
            <c:numRef>
              <c:f>('Relative incidence'!$M$35,'Relative incidence'!$M$39,'Relative incidence'!$M$41:$M$44)</c:f>
              <c:numCache>
                <c:formatCode>0.0%</c:formatCode>
                <c:ptCount val="6"/>
                <c:pt idx="0">
                  <c:v>1.0949122489444067E-3</c:v>
                </c:pt>
                <c:pt idx="1">
                  <c:v>1.0201728875649419E-3</c:v>
                </c:pt>
                <c:pt idx="2">
                  <c:v>1.4439904985619068E-3</c:v>
                </c:pt>
                <c:pt idx="3">
                  <c:v>1.350904065454197E-3</c:v>
                </c:pt>
                <c:pt idx="4">
                  <c:v>1.5550991581273035E-3</c:v>
                </c:pt>
                <c:pt idx="5">
                  <c:v>1.2747379606486376E-3</c:v>
                </c:pt>
              </c:numCache>
              <c:extLst/>
            </c:numRef>
          </c:val>
          <c:extLst>
            <c:ext xmlns:c16="http://schemas.microsoft.com/office/drawing/2014/chart" uri="{C3380CC4-5D6E-409C-BE32-E72D297353CC}">
              <c16:uniqueId val="{00000003-777F-489B-8DA0-3509C1D589BC}"/>
            </c:ext>
          </c:extLst>
        </c:ser>
        <c:dLbls>
          <c:showLegendKey val="0"/>
          <c:showVal val="0"/>
          <c:showCatName val="0"/>
          <c:showSerName val="0"/>
          <c:showPercent val="0"/>
          <c:showBubbleSize val="0"/>
        </c:dLbls>
        <c:gapWidth val="219"/>
        <c:overlap val="-27"/>
        <c:axId val="1438005488"/>
        <c:axId val="1254220032"/>
        <c:extLst>
          <c:ext xmlns:c15="http://schemas.microsoft.com/office/drawing/2012/chart" uri="{02D57815-91ED-43cb-92C2-25804820EDAC}">
            <c15:filteredBarSeries>
              <c15:ser>
                <c:idx val="0"/>
                <c:order val="0"/>
                <c:tx>
                  <c:strRef>
                    <c:extLst>
                      <c:ext uri="{02D57815-91ED-43cb-92C2-25804820EDAC}">
                        <c15:formulaRef>
                          <c15:sqref>'Relative incidence'!$H$34</c15:sqref>
                        </c15:formulaRef>
                      </c:ext>
                    </c:extLst>
                    <c:strCache>
                      <c:ptCount val="1"/>
                      <c:pt idx="0">
                        <c:v>Direct taxes</c:v>
                      </c:pt>
                    </c:strCache>
                  </c:strRef>
                </c:tx>
                <c:spPr>
                  <a:solidFill>
                    <a:schemeClr val="accent1"/>
                  </a:solidFill>
                  <a:ln>
                    <a:noFill/>
                  </a:ln>
                  <a:effectLst/>
                </c:spPr>
                <c:invertIfNegative val="0"/>
                <c:cat>
                  <c:strRef>
                    <c:extLst>
                      <c:ext uri="{02D57815-91ED-43cb-92C2-25804820EDAC}">
                        <c15:formulaRef>
                          <c15:sqref>('Relative incidence'!$G$35,'Relative incidence'!$G$39,'Relative incidence'!$G$41:$G$44)</c15:sqref>
                        </c15:formulaRef>
                      </c:ext>
                    </c:extLst>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strRef>
                </c:cat>
                <c:val>
                  <c:numRef>
                    <c:extLst>
                      <c:ext uri="{02D57815-91ED-43cb-92C2-25804820EDAC}">
                        <c15:formulaRef>
                          <c15:sqref>('Relative incidence'!$H$35,'Relative incidence'!$H$39,'Relative incidence'!$H$41:$H$44)</c15:sqref>
                        </c15:formulaRef>
                      </c:ext>
                    </c:extLst>
                    <c:numCache>
                      <c:formatCode>0.0%</c:formatCode>
                      <c:ptCount val="6"/>
                      <c:pt idx="0">
                        <c:v>5.031468565770595E-2</c:v>
                      </c:pt>
                      <c:pt idx="1">
                        <c:v>3.7990030633013608E-2</c:v>
                      </c:pt>
                      <c:pt idx="2">
                        <c:v>5.9803917181896253E-2</c:v>
                      </c:pt>
                      <c:pt idx="3">
                        <c:v>5.16466420497734E-2</c:v>
                      </c:pt>
                      <c:pt idx="4">
                        <c:v>6.167289805773403E-2</c:v>
                      </c:pt>
                      <c:pt idx="5">
                        <c:v>5.1571069292067326E-2</c:v>
                      </c:pt>
                    </c:numCache>
                  </c:numRef>
                </c:val>
                <c:extLst>
                  <c:ext xmlns:c16="http://schemas.microsoft.com/office/drawing/2014/chart" uri="{C3380CC4-5D6E-409C-BE32-E72D297353CC}">
                    <c16:uniqueId val="{00000004-777F-489B-8DA0-3509C1D589BC}"/>
                  </c:ext>
                </c:extLst>
              </c15:ser>
            </c15:filteredBarSeries>
            <c15:filteredBarSeries>
              <c15:ser>
                <c:idx val="1"/>
                <c:order val="1"/>
                <c:tx>
                  <c:strRef>
                    <c:extLst xmlns:c15="http://schemas.microsoft.com/office/drawing/2012/chart">
                      <c:ext xmlns:c15="http://schemas.microsoft.com/office/drawing/2012/chart" uri="{02D57815-91ED-43cb-92C2-25804820EDAC}">
                        <c15:formulaRef>
                          <c15:sqref>'Relative incidence'!$I$34</c15:sqref>
                        </c15:formulaRef>
                      </c:ext>
                    </c:extLst>
                    <c:strCache>
                      <c:ptCount val="1"/>
                      <c:pt idx="0">
                        <c:v>IRPF</c:v>
                      </c:pt>
                    </c:strCache>
                  </c:strRef>
                </c:tx>
                <c:spPr>
                  <a:solidFill>
                    <a:schemeClr val="accent2"/>
                  </a:solidFill>
                  <a:ln>
                    <a:noFill/>
                  </a:ln>
                  <a:effectLst/>
                </c:spPr>
                <c:invertIfNegative val="0"/>
                <c:cat>
                  <c:strRef>
                    <c:extLst xmlns:c15="http://schemas.microsoft.com/office/drawing/2012/chart">
                      <c:ext xmlns:c15="http://schemas.microsoft.com/office/drawing/2012/chart" uri="{02D57815-91ED-43cb-92C2-25804820EDAC}">
                        <c15:formulaRef>
                          <c15:sqref>('Relative incidence'!$G$35,'Relative incidence'!$G$39,'Relative incidence'!$G$41:$G$44)</c15:sqref>
                        </c15:formulaRef>
                      </c:ext>
                    </c:extLst>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strRef>
                </c:cat>
                <c:val>
                  <c:numRef>
                    <c:extLst xmlns:c15="http://schemas.microsoft.com/office/drawing/2012/chart">
                      <c:ext xmlns:c15="http://schemas.microsoft.com/office/drawing/2012/chart" uri="{02D57815-91ED-43cb-92C2-25804820EDAC}">
                        <c15:formulaRef>
                          <c15:sqref>('Relative incidence'!$I$35,'Relative incidence'!$I$39,'Relative incidence'!$I$41:$I$44)</c15:sqref>
                        </c15:formulaRef>
                      </c:ext>
                    </c:extLst>
                    <c:numCache>
                      <c:formatCode>0.0%</c:formatCode>
                      <c:ptCount val="6"/>
                      <c:pt idx="0">
                        <c:v>4.9219773575459758E-2</c:v>
                      </c:pt>
                      <c:pt idx="1">
                        <c:v>3.6969857724584325E-2</c:v>
                      </c:pt>
                      <c:pt idx="2">
                        <c:v>5.8359926640237508E-2</c:v>
                      </c:pt>
                      <c:pt idx="3">
                        <c:v>5.0295737960313801E-2</c:v>
                      </c:pt>
                      <c:pt idx="4">
                        <c:v>6.0117798778463225E-2</c:v>
                      </c:pt>
                      <c:pt idx="5">
                        <c:v>5.0296331382679089E-2</c:v>
                      </c:pt>
                    </c:numCache>
                  </c:numRef>
                </c:val>
                <c:extLst xmlns:c15="http://schemas.microsoft.com/office/drawing/2012/chart">
                  <c:ext xmlns:c16="http://schemas.microsoft.com/office/drawing/2014/chart" uri="{C3380CC4-5D6E-409C-BE32-E72D297353CC}">
                    <c16:uniqueId val="{00000005-777F-489B-8DA0-3509C1D589BC}"/>
                  </c:ext>
                </c:extLst>
              </c15:ser>
            </c15:filteredBarSeries>
          </c:ext>
        </c:extLst>
      </c:barChart>
      <c:catAx>
        <c:axId val="14380054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4220032"/>
        <c:crosses val="autoZero"/>
        <c:auto val="1"/>
        <c:lblAlgn val="ctr"/>
        <c:lblOffset val="100"/>
        <c:noMultiLvlLbl val="0"/>
      </c:catAx>
      <c:valAx>
        <c:axId val="12542200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Share of pre-fiscal income</a:t>
                </a:r>
              </a:p>
            </c:rich>
          </c:tx>
          <c:layout>
            <c:manualLayout>
              <c:xMode val="edge"/>
              <c:yMode val="edge"/>
              <c:x val="6.7753183510475606E-3"/>
              <c:y val="0.14471582919423512"/>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380054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13797595686087"/>
          <c:y val="5.3030300154535685E-2"/>
          <c:w val="0.83790394837376247"/>
          <c:h val="0.48235821986734451"/>
        </c:manualLayout>
      </c:layout>
      <c:barChart>
        <c:barDir val="col"/>
        <c:grouping val="clustered"/>
        <c:varyColors val="0"/>
        <c:ser>
          <c:idx val="1"/>
          <c:order val="1"/>
          <c:tx>
            <c:strRef>
              <c:f>'Relative incidence'!$P$34</c:f>
              <c:strCache>
                <c:ptCount val="1"/>
                <c:pt idx="0">
                  <c:v>Contributions to health - employee &amp; employer</c:v>
                </c:pt>
              </c:strCache>
            </c:strRef>
          </c:tx>
          <c:spPr>
            <a:solidFill>
              <a:schemeClr val="accent3">
                <a:lumMod val="40000"/>
                <a:lumOff val="60000"/>
              </a:schemeClr>
            </a:solidFill>
            <a:ln>
              <a:solidFill>
                <a:schemeClr val="bg2">
                  <a:lumMod val="75000"/>
                </a:schemeClr>
              </a:solidFill>
            </a:ln>
            <a:effectLst/>
          </c:spPr>
          <c:invertIfNegative val="0"/>
          <c:cat>
            <c:strRef>
              <c:f>('Relative incidence'!$G$35,'Relative incidence'!$G$39,'Relative incidence'!$G$41:$G$44)</c:f>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extLst/>
            </c:strRef>
          </c:cat>
          <c:val>
            <c:numRef>
              <c:f>('Relative incidence'!$P$35,'Relative incidence'!$P$39,'Relative incidence'!$P$41:$P$44)</c:f>
              <c:numCache>
                <c:formatCode>0.0%</c:formatCode>
                <c:ptCount val="6"/>
                <c:pt idx="0">
                  <c:v>5.2577997525115078E-2</c:v>
                </c:pt>
                <c:pt idx="1">
                  <c:v>5.0891401333484791E-2</c:v>
                </c:pt>
                <c:pt idx="2">
                  <c:v>6.6058704165931931E-2</c:v>
                </c:pt>
                <c:pt idx="3">
                  <c:v>6.174588600519814E-2</c:v>
                </c:pt>
                <c:pt idx="4">
                  <c:v>6.5638423679383398E-2</c:v>
                </c:pt>
                <c:pt idx="5">
                  <c:v>5.4718169268575013E-2</c:v>
                </c:pt>
              </c:numCache>
              <c:extLst/>
            </c:numRef>
          </c:val>
          <c:extLst>
            <c:ext xmlns:c16="http://schemas.microsoft.com/office/drawing/2014/chart" uri="{C3380CC4-5D6E-409C-BE32-E72D297353CC}">
              <c16:uniqueId val="{00000000-E9CA-49F8-AB66-62F633C8D0E7}"/>
            </c:ext>
          </c:extLst>
        </c:ser>
        <c:ser>
          <c:idx val="2"/>
          <c:order val="2"/>
          <c:tx>
            <c:strRef>
              <c:f>'Relative incidence'!$Q$34</c:f>
              <c:strCache>
                <c:ptCount val="1"/>
                <c:pt idx="0">
                  <c:v>Contributions to health - pensionist</c:v>
                </c:pt>
              </c:strCache>
            </c:strRef>
          </c:tx>
          <c:spPr>
            <a:solidFill>
              <a:schemeClr val="accent3"/>
            </a:solidFill>
            <a:ln>
              <a:solidFill>
                <a:schemeClr val="bg2">
                  <a:lumMod val="75000"/>
                </a:schemeClr>
              </a:solidFill>
            </a:ln>
            <a:effectLst/>
          </c:spPr>
          <c:invertIfNegative val="0"/>
          <c:cat>
            <c:strRef>
              <c:f>('Relative incidence'!$G$35,'Relative incidence'!$G$39,'Relative incidence'!$G$41:$G$44)</c:f>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extLst/>
            </c:strRef>
          </c:cat>
          <c:val>
            <c:numRef>
              <c:f>('Relative incidence'!$Q$35,'Relative incidence'!$Q$39,'Relative incidence'!$Q$41:$Q$44)</c:f>
              <c:numCache>
                <c:formatCode>0.0%</c:formatCode>
                <c:ptCount val="6"/>
                <c:pt idx="0">
                  <c:v>1.5544248958961422E-3</c:v>
                </c:pt>
                <c:pt idx="1">
                  <c:v>1.1847440655402364E-3</c:v>
                </c:pt>
                <c:pt idx="2">
                  <c:v>1.1839413709152206E-4</c:v>
                </c:pt>
                <c:pt idx="3">
                  <c:v>5.6485941313699675E-4</c:v>
                </c:pt>
                <c:pt idx="4">
                  <c:v>6.160662900032236E-5</c:v>
                </c:pt>
                <c:pt idx="5">
                  <c:v>7.5370571317710301E-4</c:v>
                </c:pt>
              </c:numCache>
              <c:extLst/>
            </c:numRef>
          </c:val>
          <c:extLst>
            <c:ext xmlns:c16="http://schemas.microsoft.com/office/drawing/2014/chart" uri="{C3380CC4-5D6E-409C-BE32-E72D297353CC}">
              <c16:uniqueId val="{00000001-E9CA-49F8-AB66-62F633C8D0E7}"/>
            </c:ext>
          </c:extLst>
        </c:ser>
        <c:dLbls>
          <c:showLegendKey val="0"/>
          <c:showVal val="0"/>
          <c:showCatName val="0"/>
          <c:showSerName val="0"/>
          <c:showPercent val="0"/>
          <c:showBubbleSize val="0"/>
        </c:dLbls>
        <c:gapWidth val="219"/>
        <c:overlap val="-27"/>
        <c:axId val="1438005488"/>
        <c:axId val="1254220032"/>
        <c:extLst>
          <c:ext xmlns:c15="http://schemas.microsoft.com/office/drawing/2012/chart" uri="{02D57815-91ED-43cb-92C2-25804820EDAC}">
            <c15:filteredBarSeries>
              <c15:ser>
                <c:idx val="0"/>
                <c:order val="0"/>
                <c:tx>
                  <c:strRef>
                    <c:extLst>
                      <c:ext uri="{02D57815-91ED-43cb-92C2-25804820EDAC}">
                        <c15:formulaRef>
                          <c15:sqref>'Relative incidence'!$O$34</c15:sqref>
                        </c15:formulaRef>
                      </c:ext>
                    </c:extLst>
                    <c:strCache>
                      <c:ptCount val="1"/>
                      <c:pt idx="0">
                        <c:v>Contributions to health</c:v>
                      </c:pt>
                    </c:strCache>
                  </c:strRef>
                </c:tx>
                <c:spPr>
                  <a:solidFill>
                    <a:schemeClr val="accent1"/>
                  </a:solidFill>
                  <a:ln>
                    <a:noFill/>
                  </a:ln>
                  <a:effectLst/>
                </c:spPr>
                <c:invertIfNegative val="0"/>
                <c:cat>
                  <c:strRef>
                    <c:extLst>
                      <c:ext uri="{02D57815-91ED-43cb-92C2-25804820EDAC}">
                        <c15:formulaRef>
                          <c15:sqref>('Relative incidence'!$G$35,'Relative incidence'!$G$39,'Relative incidence'!$G$41:$G$44)</c15:sqref>
                        </c15:formulaRef>
                      </c:ext>
                    </c:extLst>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strRef>
                </c:cat>
                <c:val>
                  <c:numRef>
                    <c:extLst>
                      <c:ext uri="{02D57815-91ED-43cb-92C2-25804820EDAC}">
                        <c15:formulaRef>
                          <c15:sqref>('Relative incidence'!$O$35,'Relative incidence'!$O$39,'Relative incidence'!$O$41:$O$42)</c15:sqref>
                        </c15:formulaRef>
                      </c:ext>
                    </c:extLst>
                    <c:numCache>
                      <c:formatCode>0.0%</c:formatCode>
                      <c:ptCount val="4"/>
                      <c:pt idx="0">
                        <c:v>5.4132422230296247E-2</c:v>
                      </c:pt>
                      <c:pt idx="1">
                        <c:v>5.2076145441912879E-2</c:v>
                      </c:pt>
                      <c:pt idx="2">
                        <c:v>6.6177098326813219E-2</c:v>
                      </c:pt>
                      <c:pt idx="3">
                        <c:v>6.2310745307571906E-2</c:v>
                      </c:pt>
                    </c:numCache>
                  </c:numRef>
                </c:val>
                <c:extLst>
                  <c:ext xmlns:c16="http://schemas.microsoft.com/office/drawing/2014/chart" uri="{C3380CC4-5D6E-409C-BE32-E72D297353CC}">
                    <c16:uniqueId val="{00000002-E9CA-49F8-AB66-62F633C8D0E7}"/>
                  </c:ext>
                </c:extLst>
              </c15:ser>
            </c15:filteredBarSeries>
          </c:ext>
        </c:extLst>
      </c:barChart>
      <c:catAx>
        <c:axId val="14380054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1254220032"/>
        <c:crosses val="autoZero"/>
        <c:auto val="1"/>
        <c:lblAlgn val="ctr"/>
        <c:lblOffset val="100"/>
        <c:noMultiLvlLbl val="0"/>
      </c:catAx>
      <c:valAx>
        <c:axId val="12542200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Share of pre-fiscal income</a:t>
                </a:r>
              </a:p>
            </c:rich>
          </c:tx>
          <c:layout>
            <c:manualLayout>
              <c:xMode val="edge"/>
              <c:yMode val="edge"/>
              <c:x val="8.377170561171484E-3"/>
              <c:y val="4.8209363776850624E-2"/>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38005488"/>
        <c:crosses val="autoZero"/>
        <c:crossBetween val="between"/>
      </c:valAx>
      <c:spPr>
        <a:noFill/>
        <a:ln>
          <a:noFill/>
        </a:ln>
        <a:effectLst/>
      </c:spPr>
    </c:plotArea>
    <c:legend>
      <c:legendPos val="b"/>
      <c:layout>
        <c:manualLayout>
          <c:xMode val="edge"/>
          <c:yMode val="edge"/>
          <c:x val="8.2390662040887543E-3"/>
          <c:y val="0.89077829777251094"/>
          <c:w val="0.97516946599960252"/>
          <c:h val="8.0573534807899375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2"/>
          <c:order val="1"/>
          <c:tx>
            <c:strRef>
              <c:f>'Relative incidence'!$U$34</c:f>
              <c:strCache>
                <c:ptCount val="1"/>
                <c:pt idx="0">
                  <c:v>AFAM-PE</c:v>
                </c:pt>
              </c:strCache>
            </c:strRef>
          </c:tx>
          <c:spPr>
            <a:solidFill>
              <a:schemeClr val="accent2">
                <a:lumMod val="40000"/>
                <a:lumOff val="60000"/>
              </a:schemeClr>
            </a:solidFill>
            <a:ln>
              <a:solidFill>
                <a:schemeClr val="bg2">
                  <a:lumMod val="75000"/>
                </a:schemeClr>
              </a:solidFill>
            </a:ln>
            <a:effectLst/>
          </c:spPr>
          <c:invertIfNegative val="0"/>
          <c:cat>
            <c:strRef>
              <c:f>('Relative incidence'!$G$35,'Relative incidence'!$G$39,'Relative incidence'!$G$41:$G$44)</c:f>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extLst/>
            </c:strRef>
          </c:cat>
          <c:val>
            <c:numRef>
              <c:f>('Relative incidence'!$U$35,'Relative incidence'!$U$39,'Relative incidence'!$U$41:$U$44)</c:f>
              <c:numCache>
                <c:formatCode>0.0%</c:formatCode>
                <c:ptCount val="6"/>
                <c:pt idx="0">
                  <c:v>4.0804108401945682E-5</c:v>
                </c:pt>
                <c:pt idx="1">
                  <c:v>1.642207287723544E-2</c:v>
                </c:pt>
                <c:pt idx="2">
                  <c:v>3.4100491345256806E-3</c:v>
                </c:pt>
                <c:pt idx="3">
                  <c:v>1.607864693944926E-2</c:v>
                </c:pt>
                <c:pt idx="4">
                  <c:v>4.9836339351719145E-5</c:v>
                </c:pt>
                <c:pt idx="5">
                  <c:v>2.1656193093907563E-4</c:v>
                </c:pt>
              </c:numCache>
              <c:extLst/>
            </c:numRef>
          </c:val>
          <c:extLst>
            <c:ext xmlns:c16="http://schemas.microsoft.com/office/drawing/2014/chart" uri="{C3380CC4-5D6E-409C-BE32-E72D297353CC}">
              <c16:uniqueId val="{00000000-EADA-4DF5-98F0-E56EE2AC703B}"/>
            </c:ext>
          </c:extLst>
        </c:ser>
        <c:ser>
          <c:idx val="3"/>
          <c:order val="2"/>
          <c:tx>
            <c:strRef>
              <c:f>'Relative incidence'!$V$34</c:f>
              <c:strCache>
                <c:ptCount val="1"/>
                <c:pt idx="0">
                  <c:v>Food transfers</c:v>
                </c:pt>
              </c:strCache>
            </c:strRef>
          </c:tx>
          <c:spPr>
            <a:solidFill>
              <a:schemeClr val="accent2">
                <a:lumMod val="60000"/>
                <a:lumOff val="40000"/>
              </a:schemeClr>
            </a:solidFill>
            <a:ln>
              <a:solidFill>
                <a:schemeClr val="bg2">
                  <a:lumMod val="75000"/>
                </a:schemeClr>
              </a:solidFill>
            </a:ln>
            <a:effectLst/>
          </c:spPr>
          <c:invertIfNegative val="0"/>
          <c:cat>
            <c:strRef>
              <c:f>('Relative incidence'!$G$35,'Relative incidence'!$G$39,'Relative incidence'!$G$41:$G$44)</c:f>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extLst/>
            </c:strRef>
          </c:cat>
          <c:val>
            <c:numRef>
              <c:f>('Relative incidence'!$V$35,'Relative incidence'!$V$39,'Relative incidence'!$V$41:$V$44)</c:f>
              <c:numCache>
                <c:formatCode>0.0%</c:formatCode>
                <c:ptCount val="6"/>
                <c:pt idx="0">
                  <c:v>2.3013626204139133E-4</c:v>
                </c:pt>
                <c:pt idx="1">
                  <c:v>1.0280104039268155E-2</c:v>
                </c:pt>
                <c:pt idx="2">
                  <c:v>1.5158054693819414E-3</c:v>
                </c:pt>
                <c:pt idx="3">
                  <c:v>9.0988487045105641E-3</c:v>
                </c:pt>
                <c:pt idx="4">
                  <c:v>7.6957960391584702E-5</c:v>
                </c:pt>
                <c:pt idx="5">
                  <c:v>2.6182990586916558E-4</c:v>
                </c:pt>
              </c:numCache>
              <c:extLst/>
            </c:numRef>
          </c:val>
          <c:extLst>
            <c:ext xmlns:c16="http://schemas.microsoft.com/office/drawing/2014/chart" uri="{C3380CC4-5D6E-409C-BE32-E72D297353CC}">
              <c16:uniqueId val="{00000001-EADA-4DF5-98F0-E56EE2AC703B}"/>
            </c:ext>
          </c:extLst>
        </c:ser>
        <c:ser>
          <c:idx val="1"/>
          <c:order val="3"/>
          <c:tx>
            <c:strRef>
              <c:f>'Relative incidence'!$T$34</c:f>
              <c:strCache>
                <c:ptCount val="1"/>
                <c:pt idx="0">
                  <c:v>Old-age and disability pensions</c:v>
                </c:pt>
              </c:strCache>
            </c:strRef>
          </c:tx>
          <c:spPr>
            <a:solidFill>
              <a:schemeClr val="accent2">
                <a:lumMod val="75000"/>
              </a:schemeClr>
            </a:solidFill>
            <a:ln>
              <a:solidFill>
                <a:schemeClr val="bg2">
                  <a:lumMod val="75000"/>
                </a:schemeClr>
              </a:solidFill>
            </a:ln>
            <a:effectLst/>
          </c:spPr>
          <c:invertIfNegative val="0"/>
          <c:cat>
            <c:strRef>
              <c:f>('Relative incidence'!$G$35,'Relative incidence'!$G$39,'Relative incidence'!$G$41:$G$44)</c:f>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extLst/>
            </c:strRef>
          </c:cat>
          <c:val>
            <c:numRef>
              <c:f>('Relative incidence'!$T$35,'Relative incidence'!$T$39,'Relative incidence'!$T$41:$T$44)</c:f>
              <c:numCache>
                <c:formatCode>0.0%</c:formatCode>
                <c:ptCount val="6"/>
                <c:pt idx="0">
                  <c:v>2.1001491502117228E-3</c:v>
                </c:pt>
                <c:pt idx="1">
                  <c:v>2.8074058355776351E-3</c:v>
                </c:pt>
                <c:pt idx="2">
                  <c:v>5.6422047260166466E-4</c:v>
                </c:pt>
                <c:pt idx="3">
                  <c:v>2.9100890671067991E-3</c:v>
                </c:pt>
                <c:pt idx="4">
                  <c:v>1.9014847864795757E-4</c:v>
                </c:pt>
                <c:pt idx="5">
                  <c:v>3.758265787648919E-3</c:v>
                </c:pt>
              </c:numCache>
              <c:extLst/>
            </c:numRef>
          </c:val>
          <c:extLst>
            <c:ext xmlns:c16="http://schemas.microsoft.com/office/drawing/2014/chart" uri="{C3380CC4-5D6E-409C-BE32-E72D297353CC}">
              <c16:uniqueId val="{00000002-EADA-4DF5-98F0-E56EE2AC703B}"/>
            </c:ext>
          </c:extLst>
        </c:ser>
        <c:ser>
          <c:idx val="4"/>
          <c:order val="4"/>
          <c:tx>
            <c:strRef>
              <c:f>'Relative incidence'!$W$34</c:f>
              <c:strCache>
                <c:ptCount val="1"/>
                <c:pt idx="0">
                  <c:v>Other direct transfers</c:v>
                </c:pt>
              </c:strCache>
            </c:strRef>
          </c:tx>
          <c:spPr>
            <a:solidFill>
              <a:schemeClr val="accent2">
                <a:lumMod val="50000"/>
              </a:schemeClr>
            </a:solidFill>
            <a:ln>
              <a:solidFill>
                <a:schemeClr val="bg2">
                  <a:lumMod val="75000"/>
                </a:schemeClr>
              </a:solidFill>
            </a:ln>
            <a:effectLst/>
          </c:spPr>
          <c:invertIfNegative val="0"/>
          <c:cat>
            <c:strRef>
              <c:f>('Relative incidence'!$G$35,'Relative incidence'!$G$39,'Relative incidence'!$G$41:$G$44)</c:f>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extLst/>
            </c:strRef>
          </c:cat>
          <c:val>
            <c:numRef>
              <c:f>('Relative incidence'!$W$35,'Relative incidence'!$W$39,'Relative incidence'!$W$41:$W$44)</c:f>
              <c:numCache>
                <c:formatCode>0.0%</c:formatCode>
                <c:ptCount val="6"/>
                <c:pt idx="0">
                  <c:v>3.7353156216396923E-3</c:v>
                </c:pt>
                <c:pt idx="1">
                  <c:v>8.9859070546205733E-3</c:v>
                </c:pt>
                <c:pt idx="2">
                  <c:v>7.7364021591198638E-3</c:v>
                </c:pt>
                <c:pt idx="3">
                  <c:v>1.8674024122733227E-2</c:v>
                </c:pt>
                <c:pt idx="4">
                  <c:v>3.1583361834203157E-3</c:v>
                </c:pt>
                <c:pt idx="5">
                  <c:v>9.940705236720521E-3</c:v>
                </c:pt>
              </c:numCache>
              <c:extLst/>
            </c:numRef>
          </c:val>
          <c:extLst>
            <c:ext xmlns:c16="http://schemas.microsoft.com/office/drawing/2014/chart" uri="{C3380CC4-5D6E-409C-BE32-E72D297353CC}">
              <c16:uniqueId val="{00000003-EADA-4DF5-98F0-E56EE2AC703B}"/>
            </c:ext>
          </c:extLst>
        </c:ser>
        <c:dLbls>
          <c:showLegendKey val="0"/>
          <c:showVal val="0"/>
          <c:showCatName val="0"/>
          <c:showSerName val="0"/>
          <c:showPercent val="0"/>
          <c:showBubbleSize val="0"/>
        </c:dLbls>
        <c:gapWidth val="219"/>
        <c:overlap val="-27"/>
        <c:axId val="1438005488"/>
        <c:axId val="1254220032"/>
        <c:extLst>
          <c:ext xmlns:c15="http://schemas.microsoft.com/office/drawing/2012/chart" uri="{02D57815-91ED-43cb-92C2-25804820EDAC}">
            <c15:filteredBarSeries>
              <c15:ser>
                <c:idx val="0"/>
                <c:order val="0"/>
                <c:tx>
                  <c:strRef>
                    <c:extLst>
                      <c:ext uri="{02D57815-91ED-43cb-92C2-25804820EDAC}">
                        <c15:formulaRef>
                          <c15:sqref>'Relative incidence'!$S$34</c15:sqref>
                        </c15:formulaRef>
                      </c:ext>
                    </c:extLst>
                    <c:strCache>
                      <c:ptCount val="1"/>
                      <c:pt idx="0">
                        <c:v>Direct transfers</c:v>
                      </c:pt>
                    </c:strCache>
                  </c:strRef>
                </c:tx>
                <c:spPr>
                  <a:solidFill>
                    <a:schemeClr val="accent1"/>
                  </a:solidFill>
                  <a:ln>
                    <a:noFill/>
                  </a:ln>
                  <a:effectLst/>
                </c:spPr>
                <c:invertIfNegative val="0"/>
                <c:cat>
                  <c:strRef>
                    <c:extLst>
                      <c:ext uri="{02D57815-91ED-43cb-92C2-25804820EDAC}">
                        <c15:formulaRef>
                          <c15:sqref>('Relative incidence'!$G$35,'Relative incidence'!$G$39,'Relative incidence'!$G$41:$G$44)</c15:sqref>
                        </c15:formulaRef>
                      </c:ext>
                    </c:extLst>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strRef>
                </c:cat>
                <c:val>
                  <c:numRef>
                    <c:extLst>
                      <c:ext uri="{02D57815-91ED-43cb-92C2-25804820EDAC}">
                        <c15:formulaRef>
                          <c15:sqref>('Relative incidence'!$S$35,'Relative incidence'!$S$39,'Relative incidence'!$S$41:$S$42)</c15:sqref>
                        </c15:formulaRef>
                      </c:ext>
                    </c:extLst>
                    <c:numCache>
                      <c:formatCode>0.0%</c:formatCode>
                      <c:ptCount val="4"/>
                      <c:pt idx="0">
                        <c:v>6.1064051368539081E-3</c:v>
                      </c:pt>
                      <c:pt idx="1">
                        <c:v>3.8495489812105307E-2</c:v>
                      </c:pt>
                      <c:pt idx="2">
                        <c:v>1.3226477235497407E-2</c:v>
                      </c:pt>
                      <c:pt idx="3">
                        <c:v>4.6761608844782164E-2</c:v>
                      </c:pt>
                    </c:numCache>
                  </c:numRef>
                </c:val>
                <c:extLst>
                  <c:ext xmlns:c16="http://schemas.microsoft.com/office/drawing/2014/chart" uri="{C3380CC4-5D6E-409C-BE32-E72D297353CC}">
                    <c16:uniqueId val="{00000004-EADA-4DF5-98F0-E56EE2AC703B}"/>
                  </c:ext>
                </c:extLst>
              </c15:ser>
            </c15:filteredBarSeries>
          </c:ext>
        </c:extLst>
      </c:barChart>
      <c:catAx>
        <c:axId val="14380054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4220032"/>
        <c:crosses val="autoZero"/>
        <c:auto val="1"/>
        <c:lblAlgn val="ctr"/>
        <c:lblOffset val="100"/>
        <c:noMultiLvlLbl val="0"/>
      </c:catAx>
      <c:valAx>
        <c:axId val="12542200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Share of pre-fiscal</a:t>
                </a:r>
                <a:r>
                  <a:rPr lang="en-US" baseline="0"/>
                  <a:t> income</a:t>
                </a:r>
                <a:endParaRPr lang="en-US"/>
              </a:p>
            </c:rich>
          </c:tx>
          <c:layout>
            <c:manualLayout>
              <c:xMode val="edge"/>
              <c:yMode val="edge"/>
              <c:x val="1.3024772707460528E-2"/>
              <c:y val="5.1058859132372195E-2"/>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38005488"/>
        <c:crosses val="autoZero"/>
        <c:crossBetween val="between"/>
      </c:valAx>
      <c:spPr>
        <a:noFill/>
        <a:ln>
          <a:noFill/>
        </a:ln>
        <a:effectLst/>
      </c:spPr>
    </c:plotArea>
    <c:legend>
      <c:legendPos val="b"/>
      <c:layout>
        <c:manualLayout>
          <c:xMode val="edge"/>
          <c:yMode val="edge"/>
          <c:x val="1.0916188249952136E-2"/>
          <c:y val="0.89077833883550883"/>
          <c:w val="0.9809590990253908"/>
          <c:h val="8.0573504515468311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9918616082684688"/>
          <c:y val="3.7037118552673574E-2"/>
          <c:w val="0.52337274391721766"/>
          <c:h val="0.87342104931921605"/>
        </c:manualLayout>
      </c:layout>
      <c:barChart>
        <c:barDir val="col"/>
        <c:grouping val="stacked"/>
        <c:varyColors val="0"/>
        <c:ser>
          <c:idx val="0"/>
          <c:order val="0"/>
          <c:tx>
            <c:strRef>
              <c:f>'Graphs classifications'!$G$50</c:f>
              <c:strCache>
                <c:ptCount val="1"/>
                <c:pt idx="0">
                  <c:v>Only male earners</c:v>
                </c:pt>
              </c:strCache>
            </c:strRef>
          </c:tx>
          <c:spPr>
            <a:solidFill>
              <a:schemeClr val="accent1">
                <a:lumMod val="7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50" b="1"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'Graphs classifications'!$I$50:$J$50</c:f>
              <c:numCache>
                <c:formatCode>0.0%</c:formatCode>
                <c:ptCount val="2"/>
                <c:pt idx="0">
                  <c:v>0.26833655357610692</c:v>
                </c:pt>
                <c:pt idx="1">
                  <c:v>0.38057971934726015</c:v>
                </c:pt>
              </c:numCache>
            </c:numRef>
          </c:val>
          <c:extLst>
            <c:ext xmlns:c16="http://schemas.microsoft.com/office/drawing/2014/chart" uri="{C3380CC4-5D6E-409C-BE32-E72D297353CC}">
              <c16:uniqueId val="{00000000-DA93-4CEB-9AE1-641118D756DE}"/>
            </c:ext>
          </c:extLst>
        </c:ser>
        <c:ser>
          <c:idx val="1"/>
          <c:order val="1"/>
          <c:tx>
            <c:strRef>
              <c:f>'Graphs classifications'!$G$51</c:f>
              <c:strCache>
                <c:ptCount val="1"/>
                <c:pt idx="0">
                  <c:v>No earners</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50" b="1"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'Graphs classifications'!$I$51:$J$51</c:f>
              <c:numCache>
                <c:formatCode>0.0%</c:formatCode>
                <c:ptCount val="2"/>
                <c:pt idx="0">
                  <c:v>0.20674040476814251</c:v>
                </c:pt>
                <c:pt idx="1">
                  <c:v>0.16696298177662075</c:v>
                </c:pt>
              </c:numCache>
            </c:numRef>
          </c:val>
          <c:extLst>
            <c:ext xmlns:c16="http://schemas.microsoft.com/office/drawing/2014/chart" uri="{C3380CC4-5D6E-409C-BE32-E72D297353CC}">
              <c16:uniqueId val="{00000001-DA93-4CEB-9AE1-641118D756DE}"/>
            </c:ext>
          </c:extLst>
        </c:ser>
        <c:ser>
          <c:idx val="2"/>
          <c:order val="2"/>
          <c:tx>
            <c:strRef>
              <c:f>'Graphs classifications'!$G$52</c:f>
              <c:strCache>
                <c:ptCount val="1"/>
                <c:pt idx="0">
                  <c:v>Dual - male dominated</c:v>
                </c:pt>
              </c:strCache>
            </c:strRef>
          </c:tx>
          <c:spPr>
            <a:solidFill>
              <a:schemeClr val="accent1">
                <a:lumMod val="60000"/>
                <a:lumOff val="4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50" b="1"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'Graphs classifications'!$I$52:$J$52</c:f>
              <c:numCache>
                <c:formatCode>0.0%</c:formatCode>
                <c:ptCount val="2"/>
                <c:pt idx="0">
                  <c:v>0.20563105842284515</c:v>
                </c:pt>
                <c:pt idx="1">
                  <c:v>0.12416661375325418</c:v>
                </c:pt>
              </c:numCache>
            </c:numRef>
          </c:val>
          <c:extLst>
            <c:ext xmlns:c16="http://schemas.microsoft.com/office/drawing/2014/chart" uri="{C3380CC4-5D6E-409C-BE32-E72D297353CC}">
              <c16:uniqueId val="{00000002-DA93-4CEB-9AE1-641118D756DE}"/>
            </c:ext>
          </c:extLst>
        </c:ser>
        <c:ser>
          <c:idx val="3"/>
          <c:order val="3"/>
          <c:tx>
            <c:strRef>
              <c:f>'Graphs classifications'!$G$53</c:f>
              <c:strCache>
                <c:ptCount val="1"/>
                <c:pt idx="0">
                  <c:v>Only female earners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50" b="1"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'Graphs classifications'!$I$53:$J$53</c:f>
              <c:numCache>
                <c:formatCode>0.0%</c:formatCode>
                <c:ptCount val="2"/>
                <c:pt idx="0">
                  <c:v>0.16070867173172648</c:v>
                </c:pt>
                <c:pt idx="1">
                  <c:v>0.23412597625246048</c:v>
                </c:pt>
              </c:numCache>
            </c:numRef>
          </c:val>
          <c:extLst>
            <c:ext xmlns:c16="http://schemas.microsoft.com/office/drawing/2014/chart" uri="{C3380CC4-5D6E-409C-BE32-E72D297353CC}">
              <c16:uniqueId val="{00000003-DA93-4CEB-9AE1-641118D756DE}"/>
            </c:ext>
          </c:extLst>
        </c:ser>
        <c:ser>
          <c:idx val="4"/>
          <c:order val="4"/>
          <c:tx>
            <c:strRef>
              <c:f>'Graphs classifications'!$G$54</c:f>
              <c:strCache>
                <c:ptCount val="1"/>
                <c:pt idx="0">
                  <c:v>Dual - female dominated</c:v>
                </c:pt>
              </c:strCache>
            </c:strRef>
          </c:tx>
          <c:spPr>
            <a:solidFill>
              <a:schemeClr val="accent2">
                <a:lumMod val="60000"/>
                <a:lumOff val="4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50" b="1"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'Graphs classifications'!$I$54:$J$54</c:f>
              <c:numCache>
                <c:formatCode>0.0%</c:formatCode>
                <c:ptCount val="2"/>
                <c:pt idx="0">
                  <c:v>9.277082787529474E-2</c:v>
                </c:pt>
                <c:pt idx="1">
                  <c:v>6.3750079370118742E-2</c:v>
                </c:pt>
              </c:numCache>
            </c:numRef>
          </c:val>
          <c:extLst>
            <c:ext xmlns:c16="http://schemas.microsoft.com/office/drawing/2014/chart" uri="{C3380CC4-5D6E-409C-BE32-E72D297353CC}">
              <c16:uniqueId val="{00000004-DA93-4CEB-9AE1-641118D756DE}"/>
            </c:ext>
          </c:extLst>
        </c:ser>
        <c:ser>
          <c:idx val="5"/>
          <c:order val="5"/>
          <c:tx>
            <c:strRef>
              <c:f>'Graphs classifications'!$G$55</c:f>
              <c:strCache>
                <c:ptCount val="1"/>
                <c:pt idx="0">
                  <c:v>Dual - equal earners</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50" b="1"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'Graphs classifications'!$I$55:$J$55</c:f>
              <c:numCache>
                <c:formatCode>0.0%</c:formatCode>
                <c:ptCount val="2"/>
                <c:pt idx="0">
                  <c:v>6.5812483625884197E-2</c:v>
                </c:pt>
                <c:pt idx="1">
                  <c:v>3.0414629500285732E-2</c:v>
                </c:pt>
              </c:numCache>
            </c:numRef>
          </c:val>
          <c:extLst>
            <c:ext xmlns:c16="http://schemas.microsoft.com/office/drawing/2014/chart" uri="{C3380CC4-5D6E-409C-BE32-E72D297353CC}">
              <c16:uniqueId val="{00000005-DA93-4CEB-9AE1-641118D756DE}"/>
            </c:ext>
          </c:extLst>
        </c:ser>
        <c:dLbls>
          <c:showLegendKey val="0"/>
          <c:showVal val="1"/>
          <c:showCatName val="0"/>
          <c:showSerName val="0"/>
          <c:showPercent val="0"/>
          <c:showBubbleSize val="0"/>
        </c:dLbls>
        <c:gapWidth val="150"/>
        <c:overlap val="100"/>
        <c:axId val="120204671"/>
        <c:axId val="120202591"/>
      </c:barChart>
      <c:lineChart>
        <c:grouping val="standard"/>
        <c:varyColors val="0"/>
        <c:ser>
          <c:idx val="8"/>
          <c:order val="6"/>
          <c:tx>
            <c:strRef>
              <c:f>'Graphs classifications'!$P$79</c:f>
              <c:strCache>
                <c:ptCount val="1"/>
                <c:pt idx="0">
                  <c:v>Y axis</c:v>
                </c:pt>
              </c:strCache>
            </c:strRef>
          </c:tx>
          <c:spPr>
            <a:ln w="28575" cap="rnd">
              <a:solidFill>
                <a:schemeClr val="accent3">
                  <a:lumMod val="60000"/>
                </a:schemeClr>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'Graphs classifications'!$Q$79:$R$79</c:f>
              <c:numCache>
                <c:formatCode>General</c:formatCode>
                <c:ptCount val="2"/>
              </c:numCache>
            </c:numRef>
          </c:val>
          <c:smooth val="0"/>
          <c:extLst>
            <c:ext xmlns:c16="http://schemas.microsoft.com/office/drawing/2014/chart" uri="{C3380CC4-5D6E-409C-BE32-E72D297353CC}">
              <c16:uniqueId val="{00000006-DA93-4CEB-9AE1-641118D756DE}"/>
            </c:ext>
          </c:extLst>
        </c:ser>
        <c:dLbls>
          <c:showLegendKey val="0"/>
          <c:showVal val="1"/>
          <c:showCatName val="0"/>
          <c:showSerName val="0"/>
          <c:showPercent val="0"/>
          <c:showBubbleSize val="0"/>
        </c:dLbls>
        <c:marker val="1"/>
        <c:smooth val="0"/>
        <c:axId val="916847647"/>
        <c:axId val="916848479"/>
      </c:lineChart>
      <c:catAx>
        <c:axId val="916847647"/>
        <c:scaling>
          <c:orientation val="minMax"/>
        </c:scaling>
        <c:delete val="1"/>
        <c:axPos val="b"/>
        <c:numFmt formatCode="General" sourceLinked="1"/>
        <c:majorTickMark val="none"/>
        <c:minorTickMark val="none"/>
        <c:tickLblPos val="nextTo"/>
        <c:crossAx val="916848479"/>
        <c:crosses val="autoZero"/>
        <c:auto val="1"/>
        <c:lblAlgn val="ctr"/>
        <c:lblOffset val="100"/>
        <c:noMultiLvlLbl val="0"/>
      </c:catAx>
      <c:valAx>
        <c:axId val="916848479"/>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crossAx val="916847647"/>
        <c:crosses val="autoZero"/>
        <c:crossBetween val="between"/>
        <c:majorUnit val="1"/>
      </c:valAx>
      <c:valAx>
        <c:axId val="120202591"/>
        <c:scaling>
          <c:orientation val="minMax"/>
          <c:max val="1"/>
        </c:scaling>
        <c:delete val="0"/>
        <c:axPos val="r"/>
        <c:numFmt formatCode="0%" sourceLinked="0"/>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0204671"/>
        <c:crosses val="max"/>
        <c:crossBetween val="between"/>
        <c:minorUnit val="1"/>
      </c:valAx>
      <c:catAx>
        <c:axId val="120204671"/>
        <c:scaling>
          <c:orientation val="minMax"/>
        </c:scaling>
        <c:delete val="1"/>
        <c:axPos val="b"/>
        <c:majorTickMark val="out"/>
        <c:minorTickMark val="none"/>
        <c:tickLblPos val="nextTo"/>
        <c:crossAx val="120202591"/>
        <c:crosses val="autoZero"/>
        <c:auto val="1"/>
        <c:lblAlgn val="ctr"/>
        <c:lblOffset val="100"/>
        <c:noMultiLvlLbl val="0"/>
      </c:cat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userShapes r:id="rId4"/>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0801569530857991E-2"/>
          <c:y val="1.8898611004244906E-2"/>
          <c:w val="0.92312350608281701"/>
          <c:h val="0.6041578840708185"/>
        </c:manualLayout>
      </c:layout>
      <c:barChart>
        <c:barDir val="col"/>
        <c:grouping val="percentStacked"/>
        <c:varyColors val="0"/>
        <c:ser>
          <c:idx val="0"/>
          <c:order val="0"/>
          <c:tx>
            <c:strRef>
              <c:f>'HH Characteristics'!$B$46</c:f>
              <c:strCache>
                <c:ptCount val="1"/>
                <c:pt idx="0">
                  <c:v>Single-person female</c:v>
                </c:pt>
              </c:strCache>
            </c:strRef>
          </c:tx>
          <c:spPr>
            <a:solidFill>
              <a:schemeClr val="accent2"/>
            </a:solidFill>
            <a:ln w="25400">
              <a:noFill/>
            </a:ln>
            <a:effectLst/>
          </c:spPr>
          <c:invertIfNegative val="0"/>
          <c:cat>
            <c:strRef>
              <c:f>('HH Characteristics'!$D$45:$G$45,'HH Characteristics'!$J$45:$N$45)</c:f>
              <c:strCache>
                <c:ptCount val="9"/>
                <c:pt idx="0">
                  <c:v>Urban</c:v>
                </c:pt>
                <c:pt idx="1">
                  <c:v>Rural</c:v>
                </c:pt>
                <c:pt idx="2">
                  <c:v>Informal workers</c:v>
                </c:pt>
                <c:pt idx="3">
                  <c:v>Formal workers</c:v>
                </c:pt>
                <c:pt idx="4">
                  <c:v>Tertiary educated (25+)</c:v>
                </c:pt>
                <c:pt idx="5">
                  <c:v>Non-tertiary educated (25+)</c:v>
                </c:pt>
                <c:pt idx="6">
                  <c:v>Primary sector workers</c:v>
                </c:pt>
                <c:pt idx="7">
                  <c:v>Secondary sector workers</c:v>
                </c:pt>
                <c:pt idx="8">
                  <c:v>Tertiary sector workers</c:v>
                </c:pt>
              </c:strCache>
              <c:extLst/>
            </c:strRef>
          </c:cat>
          <c:val>
            <c:numRef>
              <c:f>('HH Characteristics'!$D$46:$G$46,'HH Characteristics'!$J$46:$N$46)</c:f>
              <c:numCache>
                <c:formatCode>0.0%</c:formatCode>
                <c:ptCount val="9"/>
                <c:pt idx="0">
                  <c:v>3.7741315689843444E-2</c:v>
                </c:pt>
                <c:pt idx="1">
                  <c:v>1.1584249557833331E-2</c:v>
                </c:pt>
                <c:pt idx="2">
                  <c:v>2.8219117298548327E-2</c:v>
                </c:pt>
                <c:pt idx="3">
                  <c:v>2.2470910329747469E-2</c:v>
                </c:pt>
                <c:pt idx="4">
                  <c:v>6.6380674620244925E-2</c:v>
                </c:pt>
                <c:pt idx="5">
                  <c:v>5.4055946792668133E-2</c:v>
                </c:pt>
                <c:pt idx="6">
                  <c:v>6.1119282562440199E-3</c:v>
                </c:pt>
                <c:pt idx="7">
                  <c:v>1.1243366413815849E-2</c:v>
                </c:pt>
                <c:pt idx="8">
                  <c:v>2.9530254043147391E-2</c:v>
                </c:pt>
              </c:numCache>
              <c:extLst/>
            </c:numRef>
          </c:val>
          <c:extLst>
            <c:ext xmlns:c16="http://schemas.microsoft.com/office/drawing/2014/chart" uri="{C3380CC4-5D6E-409C-BE32-E72D297353CC}">
              <c16:uniqueId val="{00000000-6A87-43BB-8099-EFBC9350C3BD}"/>
            </c:ext>
          </c:extLst>
        </c:ser>
        <c:ser>
          <c:idx val="4"/>
          <c:order val="1"/>
          <c:tx>
            <c:strRef>
              <c:f>'HH Characteristics'!$B$47</c:f>
              <c:strCache>
                <c:ptCount val="1"/>
                <c:pt idx="0">
                  <c:v>Single-woman with individuals under 25</c:v>
                </c:pt>
              </c:strCache>
            </c:strRef>
          </c:tx>
          <c:spPr>
            <a:solidFill>
              <a:schemeClr val="accent2">
                <a:lumMod val="60000"/>
                <a:lumOff val="40000"/>
              </a:schemeClr>
            </a:solidFill>
            <a:ln>
              <a:noFill/>
            </a:ln>
            <a:effectLst/>
          </c:spPr>
          <c:invertIfNegative val="0"/>
          <c:cat>
            <c:strRef>
              <c:f>('HH Characteristics'!$D$45:$G$45,'HH Characteristics'!$J$45:$N$45)</c:f>
              <c:strCache>
                <c:ptCount val="9"/>
                <c:pt idx="0">
                  <c:v>Urban</c:v>
                </c:pt>
                <c:pt idx="1">
                  <c:v>Rural</c:v>
                </c:pt>
                <c:pt idx="2">
                  <c:v>Informal workers</c:v>
                </c:pt>
                <c:pt idx="3">
                  <c:v>Formal workers</c:v>
                </c:pt>
                <c:pt idx="4">
                  <c:v>Tertiary educated (25+)</c:v>
                </c:pt>
                <c:pt idx="5">
                  <c:v>Non-tertiary educated (25+)</c:v>
                </c:pt>
                <c:pt idx="6">
                  <c:v>Primary sector workers</c:v>
                </c:pt>
                <c:pt idx="7">
                  <c:v>Secondary sector workers</c:v>
                </c:pt>
                <c:pt idx="8">
                  <c:v>Tertiary sector workers</c:v>
                </c:pt>
              </c:strCache>
              <c:extLst/>
            </c:strRef>
          </c:cat>
          <c:val>
            <c:numRef>
              <c:f>('HH Characteristics'!$D$47:$G$47,'HH Characteristics'!$J$47:$N$47)</c:f>
              <c:numCache>
                <c:formatCode>0.0%</c:formatCode>
                <c:ptCount val="9"/>
                <c:pt idx="0">
                  <c:v>9.4583932826709363E-2</c:v>
                </c:pt>
                <c:pt idx="1">
                  <c:v>3.1303331506055875E-2</c:v>
                </c:pt>
                <c:pt idx="2">
                  <c:v>9.7142035971622048E-2</c:v>
                </c:pt>
                <c:pt idx="3">
                  <c:v>6.60104618178253E-2</c:v>
                </c:pt>
                <c:pt idx="4">
                  <c:v>4.9221151834940233E-2</c:v>
                </c:pt>
                <c:pt idx="5">
                  <c:v>4.5763928510371844E-2</c:v>
                </c:pt>
                <c:pt idx="6">
                  <c:v>3.2080483242178014E-2</c:v>
                </c:pt>
                <c:pt idx="7">
                  <c:v>4.0963331634335742E-2</c:v>
                </c:pt>
                <c:pt idx="8">
                  <c:v>8.7347176368968563E-2</c:v>
                </c:pt>
              </c:numCache>
              <c:extLst/>
            </c:numRef>
          </c:val>
          <c:extLst>
            <c:ext xmlns:c16="http://schemas.microsoft.com/office/drawing/2014/chart" uri="{C3380CC4-5D6E-409C-BE32-E72D297353CC}">
              <c16:uniqueId val="{00000001-6A87-43BB-8099-EFBC9350C3BD}"/>
            </c:ext>
          </c:extLst>
        </c:ser>
        <c:ser>
          <c:idx val="1"/>
          <c:order val="2"/>
          <c:tx>
            <c:strRef>
              <c:f>'HH Characteristics'!$B$48</c:f>
              <c:strCache>
                <c:ptCount val="1"/>
                <c:pt idx="0">
                  <c:v>Single-person male</c:v>
                </c:pt>
              </c:strCache>
            </c:strRef>
          </c:tx>
          <c:spPr>
            <a:solidFill>
              <a:schemeClr val="accent1">
                <a:lumMod val="75000"/>
              </a:schemeClr>
            </a:solidFill>
            <a:ln>
              <a:noFill/>
            </a:ln>
            <a:effectLst/>
          </c:spPr>
          <c:invertIfNegative val="0"/>
          <c:cat>
            <c:strRef>
              <c:f>('HH Characteristics'!$D$45:$G$45,'HH Characteristics'!$J$45:$N$45)</c:f>
              <c:strCache>
                <c:ptCount val="9"/>
                <c:pt idx="0">
                  <c:v>Urban</c:v>
                </c:pt>
                <c:pt idx="1">
                  <c:v>Rural</c:v>
                </c:pt>
                <c:pt idx="2">
                  <c:v>Informal workers</c:v>
                </c:pt>
                <c:pt idx="3">
                  <c:v>Formal workers</c:v>
                </c:pt>
                <c:pt idx="4">
                  <c:v>Tertiary educated (25+)</c:v>
                </c:pt>
                <c:pt idx="5">
                  <c:v>Non-tertiary educated (25+)</c:v>
                </c:pt>
                <c:pt idx="6">
                  <c:v>Primary sector workers</c:v>
                </c:pt>
                <c:pt idx="7">
                  <c:v>Secondary sector workers</c:v>
                </c:pt>
                <c:pt idx="8">
                  <c:v>Tertiary sector workers</c:v>
                </c:pt>
              </c:strCache>
              <c:extLst/>
            </c:strRef>
          </c:cat>
          <c:val>
            <c:numRef>
              <c:f>('HH Characteristics'!$D$48:$G$48,'HH Characteristics'!$J$48:$N$48)</c:f>
              <c:numCache>
                <c:formatCode>0.0%</c:formatCode>
                <c:ptCount val="9"/>
                <c:pt idx="0">
                  <c:v>3.1805058484737872E-2</c:v>
                </c:pt>
                <c:pt idx="1">
                  <c:v>2.5883557605783852E-2</c:v>
                </c:pt>
                <c:pt idx="2">
                  <c:v>5.692481457017088E-2</c:v>
                </c:pt>
                <c:pt idx="3">
                  <c:v>4.3777657122942425E-2</c:v>
                </c:pt>
                <c:pt idx="4">
                  <c:v>4.298563067560688E-2</c:v>
                </c:pt>
                <c:pt idx="5">
                  <c:v>4.7440045973507559E-2</c:v>
                </c:pt>
                <c:pt idx="6">
                  <c:v>4.7531666357262199E-2</c:v>
                </c:pt>
                <c:pt idx="7">
                  <c:v>5.5369831799238448E-2</c:v>
                </c:pt>
                <c:pt idx="8">
                  <c:v>4.4077732218516026E-2</c:v>
                </c:pt>
              </c:numCache>
              <c:extLst/>
            </c:numRef>
          </c:val>
          <c:extLst>
            <c:ext xmlns:c16="http://schemas.microsoft.com/office/drawing/2014/chart" uri="{C3380CC4-5D6E-409C-BE32-E72D297353CC}">
              <c16:uniqueId val="{00000002-6A87-43BB-8099-EFBC9350C3BD}"/>
            </c:ext>
          </c:extLst>
        </c:ser>
        <c:ser>
          <c:idx val="5"/>
          <c:order val="3"/>
          <c:tx>
            <c:strRef>
              <c:f>'HH Characteristics'!$B$49</c:f>
              <c:strCache>
                <c:ptCount val="1"/>
                <c:pt idx="0">
                  <c:v>Single-man with individuals under 25</c:v>
                </c:pt>
              </c:strCache>
            </c:strRef>
          </c:tx>
          <c:spPr>
            <a:solidFill>
              <a:schemeClr val="accent1">
                <a:lumMod val="60000"/>
                <a:lumOff val="40000"/>
              </a:schemeClr>
            </a:solidFill>
            <a:ln>
              <a:noFill/>
            </a:ln>
            <a:effectLst/>
          </c:spPr>
          <c:invertIfNegative val="0"/>
          <c:cat>
            <c:strRef>
              <c:f>('HH Characteristics'!$D$45:$G$45,'HH Characteristics'!$J$45:$N$45)</c:f>
              <c:strCache>
                <c:ptCount val="9"/>
                <c:pt idx="0">
                  <c:v>Urban</c:v>
                </c:pt>
                <c:pt idx="1">
                  <c:v>Rural</c:v>
                </c:pt>
                <c:pt idx="2">
                  <c:v>Informal workers</c:v>
                </c:pt>
                <c:pt idx="3">
                  <c:v>Formal workers</c:v>
                </c:pt>
                <c:pt idx="4">
                  <c:v>Tertiary educated (25+)</c:v>
                </c:pt>
                <c:pt idx="5">
                  <c:v>Non-tertiary educated (25+)</c:v>
                </c:pt>
                <c:pt idx="6">
                  <c:v>Primary sector workers</c:v>
                </c:pt>
                <c:pt idx="7">
                  <c:v>Secondary sector workers</c:v>
                </c:pt>
                <c:pt idx="8">
                  <c:v>Tertiary sector workers</c:v>
                </c:pt>
              </c:strCache>
              <c:extLst/>
            </c:strRef>
          </c:cat>
          <c:val>
            <c:numRef>
              <c:f>('HH Characteristics'!$D$49:$G$49,'HH Characteristics'!$J$49:$N$49)</c:f>
              <c:numCache>
                <c:formatCode>0.0%</c:formatCode>
                <c:ptCount val="9"/>
                <c:pt idx="0">
                  <c:v>1.426102561270203E-2</c:v>
                </c:pt>
                <c:pt idx="1">
                  <c:v>9.9603860037441941E-3</c:v>
                </c:pt>
                <c:pt idx="2">
                  <c:v>2.0680909425533096E-2</c:v>
                </c:pt>
                <c:pt idx="3">
                  <c:v>1.3283657961667465E-2</c:v>
                </c:pt>
                <c:pt idx="4">
                  <c:v>4.0649283507046535E-3</c:v>
                </c:pt>
                <c:pt idx="5">
                  <c:v>8.4037594465053329E-3</c:v>
                </c:pt>
                <c:pt idx="6">
                  <c:v>1.7671755180144803E-2</c:v>
                </c:pt>
                <c:pt idx="7">
                  <c:v>1.9353581386981681E-2</c:v>
                </c:pt>
                <c:pt idx="8">
                  <c:v>1.3521541261100091E-2</c:v>
                </c:pt>
              </c:numCache>
              <c:extLst/>
            </c:numRef>
          </c:val>
          <c:extLst>
            <c:ext xmlns:c16="http://schemas.microsoft.com/office/drawing/2014/chart" uri="{C3380CC4-5D6E-409C-BE32-E72D297353CC}">
              <c16:uniqueId val="{00000003-6A87-43BB-8099-EFBC9350C3BD}"/>
            </c:ext>
          </c:extLst>
        </c:ser>
        <c:ser>
          <c:idx val="2"/>
          <c:order val="4"/>
          <c:tx>
            <c:strRef>
              <c:f>'HH Characteristics'!$B$50</c:f>
              <c:strCache>
                <c:ptCount val="1"/>
                <c:pt idx="0">
                  <c:v>Couple without individuals under 25</c:v>
                </c:pt>
              </c:strCache>
            </c:strRef>
          </c:tx>
          <c:spPr>
            <a:solidFill>
              <a:schemeClr val="accent6">
                <a:lumMod val="75000"/>
              </a:schemeClr>
            </a:solidFill>
            <a:ln>
              <a:noFill/>
            </a:ln>
            <a:effectLst/>
          </c:spPr>
          <c:invertIfNegative val="0"/>
          <c:cat>
            <c:strRef>
              <c:f>('HH Characteristics'!$D$45:$G$45,'HH Characteristics'!$J$45:$N$45)</c:f>
              <c:strCache>
                <c:ptCount val="9"/>
                <c:pt idx="0">
                  <c:v>Urban</c:v>
                </c:pt>
                <c:pt idx="1">
                  <c:v>Rural</c:v>
                </c:pt>
                <c:pt idx="2">
                  <c:v>Informal workers</c:v>
                </c:pt>
                <c:pt idx="3">
                  <c:v>Formal workers</c:v>
                </c:pt>
                <c:pt idx="4">
                  <c:v>Tertiary educated (25+)</c:v>
                </c:pt>
                <c:pt idx="5">
                  <c:v>Non-tertiary educated (25+)</c:v>
                </c:pt>
                <c:pt idx="6">
                  <c:v>Primary sector workers</c:v>
                </c:pt>
                <c:pt idx="7">
                  <c:v>Secondary sector workers</c:v>
                </c:pt>
                <c:pt idx="8">
                  <c:v>Tertiary sector workers</c:v>
                </c:pt>
              </c:strCache>
              <c:extLst/>
            </c:strRef>
          </c:cat>
          <c:val>
            <c:numRef>
              <c:f>('HH Characteristics'!$D$50:$G$50,'HH Characteristics'!$J$50:$N$50)</c:f>
              <c:numCache>
                <c:formatCode>0.0%</c:formatCode>
                <c:ptCount val="9"/>
                <c:pt idx="0">
                  <c:v>0.12990217934291104</c:v>
                </c:pt>
                <c:pt idx="1">
                  <c:v>0.15092622281062854</c:v>
                </c:pt>
                <c:pt idx="2">
                  <c:v>0.12178113481542736</c:v>
                </c:pt>
                <c:pt idx="3">
                  <c:v>0.15021417148713859</c:v>
                </c:pt>
                <c:pt idx="4">
                  <c:v>0.22396571252668843</c:v>
                </c:pt>
                <c:pt idx="5">
                  <c:v>0.19185288477580706</c:v>
                </c:pt>
                <c:pt idx="6">
                  <c:v>0.14742170876947464</c:v>
                </c:pt>
                <c:pt idx="7">
                  <c:v>0.12559964620873684</c:v>
                </c:pt>
                <c:pt idx="8">
                  <c:v>0.14671239283995044</c:v>
                </c:pt>
              </c:numCache>
              <c:extLst/>
            </c:numRef>
          </c:val>
          <c:extLst>
            <c:ext xmlns:c16="http://schemas.microsoft.com/office/drawing/2014/chart" uri="{C3380CC4-5D6E-409C-BE32-E72D297353CC}">
              <c16:uniqueId val="{00000004-6A87-43BB-8099-EFBC9350C3BD}"/>
            </c:ext>
          </c:extLst>
        </c:ser>
        <c:ser>
          <c:idx val="3"/>
          <c:order val="5"/>
          <c:tx>
            <c:strRef>
              <c:f>'HH Characteristics'!$B$51</c:f>
              <c:strCache>
                <c:ptCount val="1"/>
                <c:pt idx="0">
                  <c:v>Couple with individuals under 25</c:v>
                </c:pt>
              </c:strCache>
            </c:strRef>
          </c:tx>
          <c:spPr>
            <a:solidFill>
              <a:schemeClr val="accent6">
                <a:lumMod val="60000"/>
                <a:lumOff val="40000"/>
              </a:schemeClr>
            </a:solidFill>
            <a:ln>
              <a:noFill/>
            </a:ln>
            <a:effectLst/>
          </c:spPr>
          <c:invertIfNegative val="0"/>
          <c:cat>
            <c:strRef>
              <c:f>('HH Characteristics'!$D$45:$G$45,'HH Characteristics'!$J$45:$N$45)</c:f>
              <c:strCache>
                <c:ptCount val="9"/>
                <c:pt idx="0">
                  <c:v>Urban</c:v>
                </c:pt>
                <c:pt idx="1">
                  <c:v>Rural</c:v>
                </c:pt>
                <c:pt idx="2">
                  <c:v>Informal workers</c:v>
                </c:pt>
                <c:pt idx="3">
                  <c:v>Formal workers</c:v>
                </c:pt>
                <c:pt idx="4">
                  <c:v>Tertiary educated (25+)</c:v>
                </c:pt>
                <c:pt idx="5">
                  <c:v>Non-tertiary educated (25+)</c:v>
                </c:pt>
                <c:pt idx="6">
                  <c:v>Primary sector workers</c:v>
                </c:pt>
                <c:pt idx="7">
                  <c:v>Secondary sector workers</c:v>
                </c:pt>
                <c:pt idx="8">
                  <c:v>Tertiary sector workers</c:v>
                </c:pt>
              </c:strCache>
              <c:extLst/>
            </c:strRef>
          </c:cat>
          <c:val>
            <c:numRef>
              <c:f>('HH Characteristics'!$D$51:$G$51,'HH Characteristics'!$J$51:$N$51)</c:f>
              <c:numCache>
                <c:formatCode>0.0%</c:formatCode>
                <c:ptCount val="9"/>
                <c:pt idx="0">
                  <c:v>0.43160344974947012</c:v>
                </c:pt>
                <c:pt idx="1">
                  <c:v>0.54118614441008239</c:v>
                </c:pt>
                <c:pt idx="2">
                  <c:v>0.38708823484921062</c:v>
                </c:pt>
                <c:pt idx="3">
                  <c:v>0.44597350189125079</c:v>
                </c:pt>
                <c:pt idx="4">
                  <c:v>0.38881237001108976</c:v>
                </c:pt>
                <c:pt idx="5">
                  <c:v>0.32983211018811653</c:v>
                </c:pt>
                <c:pt idx="6">
                  <c:v>0.49511616947748727</c:v>
                </c:pt>
                <c:pt idx="7">
                  <c:v>0.47908359068149792</c:v>
                </c:pt>
                <c:pt idx="8">
                  <c:v>0.41305910147728087</c:v>
                </c:pt>
              </c:numCache>
              <c:extLst/>
            </c:numRef>
          </c:val>
          <c:extLst>
            <c:ext xmlns:c16="http://schemas.microsoft.com/office/drawing/2014/chart" uri="{C3380CC4-5D6E-409C-BE32-E72D297353CC}">
              <c16:uniqueId val="{00000005-6A87-43BB-8099-EFBC9350C3BD}"/>
            </c:ext>
          </c:extLst>
        </c:ser>
        <c:ser>
          <c:idx val="6"/>
          <c:order val="6"/>
          <c:tx>
            <c:strRef>
              <c:f>'HH Characteristics'!$B$52</c:f>
              <c:strCache>
                <c:ptCount val="1"/>
                <c:pt idx="0">
                  <c:v>Extended, without individuals under 25</c:v>
                </c:pt>
              </c:strCache>
            </c:strRef>
          </c:tx>
          <c:spPr>
            <a:solidFill>
              <a:schemeClr val="accent4">
                <a:lumMod val="75000"/>
              </a:schemeClr>
            </a:solidFill>
            <a:ln>
              <a:noFill/>
            </a:ln>
            <a:effectLst/>
          </c:spPr>
          <c:invertIfNegative val="0"/>
          <c:cat>
            <c:strRef>
              <c:f>('HH Characteristics'!$D$45:$G$45,'HH Characteristics'!$J$45:$N$45)</c:f>
              <c:strCache>
                <c:ptCount val="9"/>
                <c:pt idx="0">
                  <c:v>Urban</c:v>
                </c:pt>
                <c:pt idx="1">
                  <c:v>Rural</c:v>
                </c:pt>
                <c:pt idx="2">
                  <c:v>Informal workers</c:v>
                </c:pt>
                <c:pt idx="3">
                  <c:v>Formal workers</c:v>
                </c:pt>
                <c:pt idx="4">
                  <c:v>Tertiary educated (25+)</c:v>
                </c:pt>
                <c:pt idx="5">
                  <c:v>Non-tertiary educated (25+)</c:v>
                </c:pt>
                <c:pt idx="6">
                  <c:v>Primary sector workers</c:v>
                </c:pt>
                <c:pt idx="7">
                  <c:v>Secondary sector workers</c:v>
                </c:pt>
                <c:pt idx="8">
                  <c:v>Tertiary sector workers</c:v>
                </c:pt>
              </c:strCache>
              <c:extLst/>
            </c:strRef>
          </c:cat>
          <c:val>
            <c:numRef>
              <c:f>('HH Characteristics'!$D$52:$G$52,'HH Characteristics'!$J$52:$N$52)</c:f>
              <c:numCache>
                <c:formatCode>0.0%</c:formatCode>
                <c:ptCount val="9"/>
                <c:pt idx="0">
                  <c:v>0.10904520954009821</c:v>
                </c:pt>
                <c:pt idx="1">
                  <c:v>0.10814207254636285</c:v>
                </c:pt>
                <c:pt idx="2">
                  <c:v>0.12339466425981858</c:v>
                </c:pt>
                <c:pt idx="3">
                  <c:v>0.120720380771281</c:v>
                </c:pt>
                <c:pt idx="4">
                  <c:v>0.14022029543741391</c:v>
                </c:pt>
                <c:pt idx="5">
                  <c:v>0.17337233803710425</c:v>
                </c:pt>
                <c:pt idx="6">
                  <c:v>0.124537678324075</c:v>
                </c:pt>
                <c:pt idx="7">
                  <c:v>0.11620393967559139</c:v>
                </c:pt>
                <c:pt idx="8">
                  <c:v>0.1212346749606525</c:v>
                </c:pt>
              </c:numCache>
              <c:extLst/>
            </c:numRef>
          </c:val>
          <c:extLst>
            <c:ext xmlns:c16="http://schemas.microsoft.com/office/drawing/2014/chart" uri="{C3380CC4-5D6E-409C-BE32-E72D297353CC}">
              <c16:uniqueId val="{00000006-6A87-43BB-8099-EFBC9350C3BD}"/>
            </c:ext>
          </c:extLst>
        </c:ser>
        <c:ser>
          <c:idx val="7"/>
          <c:order val="7"/>
          <c:tx>
            <c:strRef>
              <c:f>'HH Characteristics'!$B$53</c:f>
              <c:strCache>
                <c:ptCount val="1"/>
                <c:pt idx="0">
                  <c:v>Extended, with individuals under 25</c:v>
                </c:pt>
              </c:strCache>
            </c:strRef>
          </c:tx>
          <c:spPr>
            <a:solidFill>
              <a:schemeClr val="accent4"/>
            </a:solidFill>
            <a:ln w="25400">
              <a:noFill/>
            </a:ln>
            <a:effectLst/>
          </c:spPr>
          <c:invertIfNegative val="0"/>
          <c:cat>
            <c:strRef>
              <c:f>('HH Characteristics'!$D$45:$G$45,'HH Characteristics'!$J$45:$N$45)</c:f>
              <c:strCache>
                <c:ptCount val="9"/>
                <c:pt idx="0">
                  <c:v>Urban</c:v>
                </c:pt>
                <c:pt idx="1">
                  <c:v>Rural</c:v>
                </c:pt>
                <c:pt idx="2">
                  <c:v>Informal workers</c:v>
                </c:pt>
                <c:pt idx="3">
                  <c:v>Formal workers</c:v>
                </c:pt>
                <c:pt idx="4">
                  <c:v>Tertiary educated (25+)</c:v>
                </c:pt>
                <c:pt idx="5">
                  <c:v>Non-tertiary educated (25+)</c:v>
                </c:pt>
                <c:pt idx="6">
                  <c:v>Primary sector workers</c:v>
                </c:pt>
                <c:pt idx="7">
                  <c:v>Secondary sector workers</c:v>
                </c:pt>
                <c:pt idx="8">
                  <c:v>Tertiary sector workers</c:v>
                </c:pt>
              </c:strCache>
              <c:extLst/>
            </c:strRef>
          </c:cat>
          <c:val>
            <c:numRef>
              <c:f>('HH Characteristics'!$D$53:$G$53,'HH Characteristics'!$J$53:$N$53)</c:f>
              <c:numCache>
                <c:formatCode>0.0%</c:formatCode>
                <c:ptCount val="9"/>
                <c:pt idx="0">
                  <c:v>0.15105782875352791</c:v>
                </c:pt>
                <c:pt idx="1">
                  <c:v>0.12101403555950892</c:v>
                </c:pt>
                <c:pt idx="2">
                  <c:v>0.16476908880966906</c:v>
                </c:pt>
                <c:pt idx="3">
                  <c:v>0.13754925861814696</c:v>
                </c:pt>
                <c:pt idx="4">
                  <c:v>8.4349236543311223E-2</c:v>
                </c:pt>
                <c:pt idx="5">
                  <c:v>0.14927898627591932</c:v>
                </c:pt>
                <c:pt idx="6">
                  <c:v>0.12952861039313407</c:v>
                </c:pt>
                <c:pt idx="7">
                  <c:v>0.15218271219980212</c:v>
                </c:pt>
                <c:pt idx="8">
                  <c:v>0.14451712683038412</c:v>
                </c:pt>
              </c:numCache>
              <c:extLst/>
            </c:numRef>
          </c:val>
          <c:extLst>
            <c:ext xmlns:c16="http://schemas.microsoft.com/office/drawing/2014/chart" uri="{C3380CC4-5D6E-409C-BE32-E72D297353CC}">
              <c16:uniqueId val="{00000007-6A87-43BB-8099-EFBC9350C3BD}"/>
            </c:ext>
          </c:extLst>
        </c:ser>
        <c:dLbls>
          <c:showLegendKey val="0"/>
          <c:showVal val="0"/>
          <c:showCatName val="0"/>
          <c:showSerName val="0"/>
          <c:showPercent val="0"/>
          <c:showBubbleSize val="0"/>
        </c:dLbls>
        <c:gapWidth val="150"/>
        <c:overlap val="100"/>
        <c:axId val="1072865712"/>
        <c:axId val="1072870704"/>
      </c:barChart>
      <c:lineChart>
        <c:grouping val="standard"/>
        <c:varyColors val="0"/>
        <c:ser>
          <c:idx val="8"/>
          <c:order val="8"/>
          <c:tx>
            <c:strRef>
              <c:f>'HH Characteristics'!$B$54</c:f>
              <c:strCache>
                <c:ptCount val="1"/>
                <c:pt idx="0">
                  <c:v>Percent of the population</c:v>
                </c:pt>
              </c:strCache>
            </c:strRef>
          </c:tx>
          <c:spPr>
            <a:ln w="25400" cap="rnd">
              <a:noFill/>
              <a:round/>
            </a:ln>
            <a:effectLst/>
          </c:spPr>
          <c:marker>
            <c:symbol val="diamond"/>
            <c:size val="6"/>
            <c:spPr>
              <a:solidFill>
                <a:schemeClr val="bg1"/>
              </a:solidFill>
              <a:ln w="9525">
                <a:solidFill>
                  <a:schemeClr val="tx1"/>
                </a:solidFill>
              </a:ln>
              <a:effectLst/>
            </c:spPr>
          </c:marker>
          <c:cat>
            <c:strRef>
              <c:f>('HH Characteristics'!$D$45:$G$45,'HH Characteristics'!$J$45:$N$45)</c:f>
              <c:strCache>
                <c:ptCount val="9"/>
                <c:pt idx="0">
                  <c:v>Urban</c:v>
                </c:pt>
                <c:pt idx="1">
                  <c:v>Rural</c:v>
                </c:pt>
                <c:pt idx="2">
                  <c:v>Informal workers</c:v>
                </c:pt>
                <c:pt idx="3">
                  <c:v>Formal workers</c:v>
                </c:pt>
                <c:pt idx="4">
                  <c:v>Tertiary educated (25+)</c:v>
                </c:pt>
                <c:pt idx="5">
                  <c:v>Non-tertiary educated (25+)</c:v>
                </c:pt>
                <c:pt idx="6">
                  <c:v>Primary sector workers</c:v>
                </c:pt>
                <c:pt idx="7">
                  <c:v>Secondary sector workers</c:v>
                </c:pt>
                <c:pt idx="8">
                  <c:v>Tertiary sector workers</c:v>
                </c:pt>
              </c:strCache>
              <c:extLst/>
            </c:strRef>
          </c:cat>
          <c:val>
            <c:numRef>
              <c:f>('HH Characteristics'!$D$54:$G$54,'HH Characteristics'!$J$54:$N$54)</c:f>
              <c:numCache>
                <c:formatCode>0.0%</c:formatCode>
                <c:ptCount val="9"/>
                <c:pt idx="0">
                  <c:v>0.94369560931975305</c:v>
                </c:pt>
                <c:pt idx="1">
                  <c:v>5.6304390680246931E-2</c:v>
                </c:pt>
                <c:pt idx="2">
                  <c:v>0.11549554392063353</c:v>
                </c:pt>
                <c:pt idx="3">
                  <c:v>0.35341934608451164</c:v>
                </c:pt>
                <c:pt idx="4">
                  <c:v>7.3781329919922478E-2</c:v>
                </c:pt>
                <c:pt idx="5">
                  <c:v>0.56546885723628448</c:v>
                </c:pt>
                <c:pt idx="6">
                  <c:v>4.0780980794613862E-2</c:v>
                </c:pt>
                <c:pt idx="7">
                  <c:v>7.7693921055750279E-2</c:v>
                </c:pt>
                <c:pt idx="8">
                  <c:v>0.34115045961371426</c:v>
                </c:pt>
              </c:numCache>
              <c:extLst/>
            </c:numRef>
          </c:val>
          <c:smooth val="0"/>
          <c:extLst>
            <c:ext xmlns:c16="http://schemas.microsoft.com/office/drawing/2014/chart" uri="{C3380CC4-5D6E-409C-BE32-E72D297353CC}">
              <c16:uniqueId val="{00000008-6A87-43BB-8099-EFBC9350C3BD}"/>
            </c:ext>
          </c:extLst>
        </c:ser>
        <c:dLbls>
          <c:showLegendKey val="0"/>
          <c:showVal val="0"/>
          <c:showCatName val="0"/>
          <c:showSerName val="0"/>
          <c:showPercent val="0"/>
          <c:showBubbleSize val="0"/>
        </c:dLbls>
        <c:marker val="1"/>
        <c:smooth val="0"/>
        <c:axId val="1072865712"/>
        <c:axId val="1072870704"/>
      </c:lineChart>
      <c:catAx>
        <c:axId val="10728657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2870704"/>
        <c:crosses val="autoZero"/>
        <c:auto val="1"/>
        <c:lblAlgn val="ctr"/>
        <c:lblOffset val="100"/>
        <c:noMultiLvlLbl val="0"/>
      </c:catAx>
      <c:valAx>
        <c:axId val="107287070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2865712"/>
        <c:crosses val="autoZero"/>
        <c:crossBetween val="between"/>
      </c:valAx>
      <c:spPr>
        <a:noFill/>
        <a:ln>
          <a:noFill/>
        </a:ln>
        <a:effectLst/>
      </c:spPr>
    </c:plotArea>
    <c:legend>
      <c:legendPos val="b"/>
      <c:layout>
        <c:manualLayout>
          <c:xMode val="edge"/>
          <c:yMode val="edge"/>
          <c:x val="3.5972321942929833E-2"/>
          <c:y val="0.77333587644797686"/>
          <c:w val="0.95187782928442011"/>
          <c:h val="0.2060193789670692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4709771855441143E-2"/>
          <c:y val="4.2876632235431693E-2"/>
          <c:w val="0.90178595464028533"/>
          <c:h val="0.66704898586176042"/>
        </c:manualLayout>
      </c:layout>
      <c:barChart>
        <c:barDir val="col"/>
        <c:grouping val="stacked"/>
        <c:varyColors val="0"/>
        <c:ser>
          <c:idx val="0"/>
          <c:order val="0"/>
          <c:tx>
            <c:strRef>
              <c:f>'HH Characteristics'!$B$11</c:f>
              <c:strCache>
                <c:ptCount val="1"/>
                <c:pt idx="0">
                  <c:v>No earners</c:v>
                </c:pt>
              </c:strCache>
            </c:strRef>
          </c:tx>
          <c:spPr>
            <a:solidFill>
              <a:schemeClr val="accent3"/>
            </a:solidFill>
            <a:ln w="25400">
              <a:noFill/>
            </a:ln>
          </c:spPr>
          <c:invertIfNegative val="0"/>
          <c:cat>
            <c:strRef>
              <c:f>('HH Characteristics'!$D$10:$G$10,'HH Characteristics'!$J$10:$N$10)</c:f>
              <c:strCache>
                <c:ptCount val="9"/>
                <c:pt idx="0">
                  <c:v>Urban</c:v>
                </c:pt>
                <c:pt idx="1">
                  <c:v>Rural</c:v>
                </c:pt>
                <c:pt idx="2">
                  <c:v>Informal workers</c:v>
                </c:pt>
                <c:pt idx="3">
                  <c:v>Formal workers</c:v>
                </c:pt>
                <c:pt idx="4">
                  <c:v>Tertiary educated (25+)</c:v>
                </c:pt>
                <c:pt idx="5">
                  <c:v>Non-tertiary educated (25+)</c:v>
                </c:pt>
                <c:pt idx="6">
                  <c:v>Primary sector workers</c:v>
                </c:pt>
                <c:pt idx="7">
                  <c:v>Secondary sector workers</c:v>
                </c:pt>
                <c:pt idx="8">
                  <c:v>Tertiary sector workers</c:v>
                </c:pt>
              </c:strCache>
              <c:extLst/>
            </c:strRef>
          </c:cat>
          <c:val>
            <c:numRef>
              <c:f>('HH Characteristics'!$D$11:$G$11,'HH Characteristics'!$J$11:$N$11)</c:f>
              <c:numCache>
                <c:formatCode>0.0%</c:formatCode>
                <c:ptCount val="9"/>
                <c:pt idx="0">
                  <c:v>0.12880434111589892</c:v>
                </c:pt>
                <c:pt idx="1">
                  <c:v>9.4822324522836607E-2</c:v>
                </c:pt>
                <c:pt idx="4">
                  <c:v>0.11298592116325057</c:v>
                </c:pt>
                <c:pt idx="5">
                  <c:v>0.1810930983895693</c:v>
                </c:pt>
                <c:pt idx="6">
                  <c:v>5.4336184614505838E-3</c:v>
                </c:pt>
                <c:pt idx="7">
                  <c:v>5.9043606046065263E-3</c:v>
                </c:pt>
                <c:pt idx="8">
                  <c:v>2.9647043960087036E-3</c:v>
                </c:pt>
              </c:numCache>
              <c:extLst/>
            </c:numRef>
          </c:val>
          <c:extLst>
            <c:ext xmlns:c16="http://schemas.microsoft.com/office/drawing/2014/chart" uri="{C3380CC4-5D6E-409C-BE32-E72D297353CC}">
              <c16:uniqueId val="{00000000-DD5D-4EA0-B6C5-83BF416BA8B7}"/>
            </c:ext>
          </c:extLst>
        </c:ser>
        <c:ser>
          <c:idx val="1"/>
          <c:order val="1"/>
          <c:tx>
            <c:strRef>
              <c:f>'HH Characteristics'!$B$12</c:f>
              <c:strCache>
                <c:ptCount val="1"/>
                <c:pt idx="0">
                  <c:v>Only female earners</c:v>
                </c:pt>
              </c:strCache>
            </c:strRef>
          </c:tx>
          <c:spPr>
            <a:solidFill>
              <a:schemeClr val="accent2"/>
            </a:solidFill>
            <a:ln w="25400">
              <a:noFill/>
            </a:ln>
          </c:spPr>
          <c:invertIfNegative val="0"/>
          <c:cat>
            <c:strRef>
              <c:f>('HH Characteristics'!$D$10:$G$10,'HH Characteristics'!$J$10:$N$10)</c:f>
              <c:strCache>
                <c:ptCount val="9"/>
                <c:pt idx="0">
                  <c:v>Urban</c:v>
                </c:pt>
                <c:pt idx="1">
                  <c:v>Rural</c:v>
                </c:pt>
                <c:pt idx="2">
                  <c:v>Informal workers</c:v>
                </c:pt>
                <c:pt idx="3">
                  <c:v>Formal workers</c:v>
                </c:pt>
                <c:pt idx="4">
                  <c:v>Tertiary educated (25+)</c:v>
                </c:pt>
                <c:pt idx="5">
                  <c:v>Non-tertiary educated (25+)</c:v>
                </c:pt>
                <c:pt idx="6">
                  <c:v>Primary sector workers</c:v>
                </c:pt>
                <c:pt idx="7">
                  <c:v>Secondary sector workers</c:v>
                </c:pt>
                <c:pt idx="8">
                  <c:v>Tertiary sector workers</c:v>
                </c:pt>
              </c:strCache>
              <c:extLst/>
            </c:strRef>
          </c:cat>
          <c:val>
            <c:numRef>
              <c:f>('HH Characteristics'!$D$12:$G$12,'HH Characteristics'!$J$12:$N$12)</c:f>
              <c:numCache>
                <c:formatCode>0.0%</c:formatCode>
                <c:ptCount val="9"/>
                <c:pt idx="0">
                  <c:v>0.15182330571777808</c:v>
                </c:pt>
                <c:pt idx="1">
                  <c:v>5.8764806289763619E-2</c:v>
                </c:pt>
                <c:pt idx="2">
                  <c:v>0.15074507176644944</c:v>
                </c:pt>
                <c:pt idx="3">
                  <c:v>0.13904196763582868</c:v>
                </c:pt>
                <c:pt idx="4">
                  <c:v>0.159832490655552</c:v>
                </c:pt>
                <c:pt idx="5">
                  <c:v>0.13013252674435855</c:v>
                </c:pt>
                <c:pt idx="6">
                  <c:v>3.9777514387307755E-2</c:v>
                </c:pt>
                <c:pt idx="7">
                  <c:v>7.2291866602687146E-2</c:v>
                </c:pt>
                <c:pt idx="8">
                  <c:v>0.17244113913623213</c:v>
                </c:pt>
              </c:numCache>
              <c:extLst/>
            </c:numRef>
          </c:val>
          <c:extLst>
            <c:ext xmlns:c16="http://schemas.microsoft.com/office/drawing/2014/chart" uri="{C3380CC4-5D6E-409C-BE32-E72D297353CC}">
              <c16:uniqueId val="{00000001-DD5D-4EA0-B6C5-83BF416BA8B7}"/>
            </c:ext>
          </c:extLst>
        </c:ser>
        <c:ser>
          <c:idx val="2"/>
          <c:order val="2"/>
          <c:tx>
            <c:strRef>
              <c:f>'HH Characteristics'!$B$13</c:f>
              <c:strCache>
                <c:ptCount val="1"/>
                <c:pt idx="0">
                  <c:v>Dual - female dominated</c:v>
                </c:pt>
              </c:strCache>
            </c:strRef>
          </c:tx>
          <c:spPr>
            <a:solidFill>
              <a:schemeClr val="accent2">
                <a:lumMod val="60000"/>
                <a:lumOff val="40000"/>
              </a:schemeClr>
            </a:solidFill>
            <a:ln w="25400">
              <a:noFill/>
            </a:ln>
          </c:spPr>
          <c:invertIfNegative val="0"/>
          <c:cat>
            <c:strRef>
              <c:f>('HH Characteristics'!$D$10:$G$10,'HH Characteristics'!$J$10:$N$10)</c:f>
              <c:strCache>
                <c:ptCount val="9"/>
                <c:pt idx="0">
                  <c:v>Urban</c:v>
                </c:pt>
                <c:pt idx="1">
                  <c:v>Rural</c:v>
                </c:pt>
                <c:pt idx="2">
                  <c:v>Informal workers</c:v>
                </c:pt>
                <c:pt idx="3">
                  <c:v>Formal workers</c:v>
                </c:pt>
                <c:pt idx="4">
                  <c:v>Tertiary educated (25+)</c:v>
                </c:pt>
                <c:pt idx="5">
                  <c:v>Non-tertiary educated (25+)</c:v>
                </c:pt>
                <c:pt idx="6">
                  <c:v>Primary sector workers</c:v>
                </c:pt>
                <c:pt idx="7">
                  <c:v>Secondary sector workers</c:v>
                </c:pt>
                <c:pt idx="8">
                  <c:v>Tertiary sector workers</c:v>
                </c:pt>
              </c:strCache>
              <c:extLst/>
            </c:strRef>
          </c:cat>
          <c:val>
            <c:numRef>
              <c:f>('HH Characteristics'!$D$13:$G$13,'HH Characteristics'!$J$13:$N$13)</c:f>
              <c:numCache>
                <c:formatCode>0.0%</c:formatCode>
                <c:ptCount val="9"/>
                <c:pt idx="0">
                  <c:v>0.11927913523390911</c:v>
                </c:pt>
                <c:pt idx="1">
                  <c:v>6.382351419852067E-2</c:v>
                </c:pt>
                <c:pt idx="2">
                  <c:v>0.15709696083805347</c:v>
                </c:pt>
                <c:pt idx="3">
                  <c:v>0.15822906163738243</c:v>
                </c:pt>
                <c:pt idx="4">
                  <c:v>0.19458554856942126</c:v>
                </c:pt>
                <c:pt idx="5">
                  <c:v>9.9460476865511724E-2</c:v>
                </c:pt>
                <c:pt idx="6">
                  <c:v>8.5074328473303151E-2</c:v>
                </c:pt>
                <c:pt idx="7">
                  <c:v>0.13390340091170824</c:v>
                </c:pt>
                <c:pt idx="8">
                  <c:v>0.17024898224335844</c:v>
                </c:pt>
              </c:numCache>
              <c:extLst/>
            </c:numRef>
          </c:val>
          <c:extLst>
            <c:ext xmlns:c16="http://schemas.microsoft.com/office/drawing/2014/chart" uri="{C3380CC4-5D6E-409C-BE32-E72D297353CC}">
              <c16:uniqueId val="{00000002-DD5D-4EA0-B6C5-83BF416BA8B7}"/>
            </c:ext>
          </c:extLst>
        </c:ser>
        <c:ser>
          <c:idx val="3"/>
          <c:order val="3"/>
          <c:tx>
            <c:strRef>
              <c:f>'HH Characteristics'!$B$14</c:f>
              <c:strCache>
                <c:ptCount val="1"/>
                <c:pt idx="0">
                  <c:v>Only male earners</c:v>
                </c:pt>
              </c:strCache>
            </c:strRef>
          </c:tx>
          <c:spPr>
            <a:solidFill>
              <a:schemeClr val="accent1">
                <a:lumMod val="75000"/>
              </a:schemeClr>
            </a:solidFill>
            <a:ln w="25400">
              <a:noFill/>
            </a:ln>
          </c:spPr>
          <c:invertIfNegative val="0"/>
          <c:cat>
            <c:strRef>
              <c:f>('HH Characteristics'!$D$10:$G$10,'HH Characteristics'!$J$10:$N$10)</c:f>
              <c:strCache>
                <c:ptCount val="9"/>
                <c:pt idx="0">
                  <c:v>Urban</c:v>
                </c:pt>
                <c:pt idx="1">
                  <c:v>Rural</c:v>
                </c:pt>
                <c:pt idx="2">
                  <c:v>Informal workers</c:v>
                </c:pt>
                <c:pt idx="3">
                  <c:v>Formal workers</c:v>
                </c:pt>
                <c:pt idx="4">
                  <c:v>Tertiary educated (25+)</c:v>
                </c:pt>
                <c:pt idx="5">
                  <c:v>Non-tertiary educated (25+)</c:v>
                </c:pt>
                <c:pt idx="6">
                  <c:v>Primary sector workers</c:v>
                </c:pt>
                <c:pt idx="7">
                  <c:v>Secondary sector workers</c:v>
                </c:pt>
                <c:pt idx="8">
                  <c:v>Tertiary sector workers</c:v>
                </c:pt>
              </c:strCache>
              <c:extLst/>
            </c:strRef>
          </c:cat>
          <c:val>
            <c:numRef>
              <c:f>('HH Characteristics'!$D$14:$G$14,'HH Characteristics'!$J$14:$N$14)</c:f>
              <c:numCache>
                <c:formatCode>0.0%</c:formatCode>
                <c:ptCount val="9"/>
                <c:pt idx="0">
                  <c:v>0.25646074352104503</c:v>
                </c:pt>
                <c:pt idx="1">
                  <c:v>0.38378420317591683</c:v>
                </c:pt>
                <c:pt idx="2">
                  <c:v>0.30195708224211787</c:v>
                </c:pt>
                <c:pt idx="3">
                  <c:v>0.22194003206664573</c:v>
                </c:pt>
                <c:pt idx="4">
                  <c:v>0.15659202949174886</c:v>
                </c:pt>
                <c:pt idx="5">
                  <c:v>0.27597787924242173</c:v>
                </c:pt>
                <c:pt idx="6">
                  <c:v>0.42664258071886557</c:v>
                </c:pt>
                <c:pt idx="7">
                  <c:v>0.34202555182341648</c:v>
                </c:pt>
                <c:pt idx="8">
                  <c:v>0.19050338512389356</c:v>
                </c:pt>
              </c:numCache>
              <c:extLst/>
            </c:numRef>
          </c:val>
          <c:extLst>
            <c:ext xmlns:c16="http://schemas.microsoft.com/office/drawing/2014/chart" uri="{C3380CC4-5D6E-409C-BE32-E72D297353CC}">
              <c16:uniqueId val="{00000003-DD5D-4EA0-B6C5-83BF416BA8B7}"/>
            </c:ext>
          </c:extLst>
        </c:ser>
        <c:ser>
          <c:idx val="4"/>
          <c:order val="4"/>
          <c:tx>
            <c:strRef>
              <c:f>'HH Characteristics'!$B$15</c:f>
              <c:strCache>
                <c:ptCount val="1"/>
                <c:pt idx="0">
                  <c:v>Dual - male dominated</c:v>
                </c:pt>
              </c:strCache>
            </c:strRef>
          </c:tx>
          <c:spPr>
            <a:solidFill>
              <a:schemeClr val="accent1">
                <a:lumMod val="60000"/>
                <a:lumOff val="40000"/>
              </a:schemeClr>
            </a:solidFill>
            <a:effectLst/>
          </c:spPr>
          <c:invertIfNegative val="0"/>
          <c:cat>
            <c:strRef>
              <c:f>('HH Characteristics'!$D$10:$G$10,'HH Characteristics'!$J$10:$N$10)</c:f>
              <c:strCache>
                <c:ptCount val="9"/>
                <c:pt idx="0">
                  <c:v>Urban</c:v>
                </c:pt>
                <c:pt idx="1">
                  <c:v>Rural</c:v>
                </c:pt>
                <c:pt idx="2">
                  <c:v>Informal workers</c:v>
                </c:pt>
                <c:pt idx="3">
                  <c:v>Formal workers</c:v>
                </c:pt>
                <c:pt idx="4">
                  <c:v>Tertiary educated (25+)</c:v>
                </c:pt>
                <c:pt idx="5">
                  <c:v>Non-tertiary educated (25+)</c:v>
                </c:pt>
                <c:pt idx="6">
                  <c:v>Primary sector workers</c:v>
                </c:pt>
                <c:pt idx="7">
                  <c:v>Secondary sector workers</c:v>
                </c:pt>
                <c:pt idx="8">
                  <c:v>Tertiary sector workers</c:v>
                </c:pt>
              </c:strCache>
              <c:extLst/>
            </c:strRef>
          </c:cat>
          <c:val>
            <c:numRef>
              <c:f>('HH Characteristics'!$D$15:$G$15,'HH Characteristics'!$J$15:$N$15)</c:f>
              <c:numCache>
                <c:formatCode>0.0%</c:formatCode>
                <c:ptCount val="9"/>
                <c:pt idx="0">
                  <c:v>0.26202171792624052</c:v>
                </c:pt>
                <c:pt idx="1">
                  <c:v>0.31713650235348884</c:v>
                </c:pt>
                <c:pt idx="2">
                  <c:v>0.32540045069736279</c:v>
                </c:pt>
                <c:pt idx="3">
                  <c:v>0.35578604605034791</c:v>
                </c:pt>
                <c:pt idx="4">
                  <c:v>0.26504683078161817</c:v>
                </c:pt>
                <c:pt idx="5">
                  <c:v>0.23940424777885835</c:v>
                </c:pt>
                <c:pt idx="6">
                  <c:v>0.34830136947177515</c:v>
                </c:pt>
                <c:pt idx="7">
                  <c:v>0.34927573176583493</c:v>
                </c:pt>
                <c:pt idx="8">
                  <c:v>0.34823965874741453</c:v>
                </c:pt>
              </c:numCache>
              <c:extLst/>
            </c:numRef>
          </c:val>
          <c:extLst>
            <c:ext xmlns:c16="http://schemas.microsoft.com/office/drawing/2014/chart" uri="{C3380CC4-5D6E-409C-BE32-E72D297353CC}">
              <c16:uniqueId val="{00000004-DD5D-4EA0-B6C5-83BF416BA8B7}"/>
            </c:ext>
          </c:extLst>
        </c:ser>
        <c:ser>
          <c:idx val="5"/>
          <c:order val="5"/>
          <c:tx>
            <c:strRef>
              <c:f>'HH Characteristics'!$B$16</c:f>
              <c:strCache>
                <c:ptCount val="1"/>
                <c:pt idx="0">
                  <c:v>Dual - equal earners</c:v>
                </c:pt>
              </c:strCache>
            </c:strRef>
          </c:tx>
          <c:spPr>
            <a:solidFill>
              <a:schemeClr val="accent6"/>
            </a:solidFill>
            <a:effectLst/>
          </c:spPr>
          <c:invertIfNegative val="0"/>
          <c:cat>
            <c:strRef>
              <c:f>('HH Characteristics'!$D$10:$G$10,'HH Characteristics'!$J$10:$N$10)</c:f>
              <c:strCache>
                <c:ptCount val="9"/>
                <c:pt idx="0">
                  <c:v>Urban</c:v>
                </c:pt>
                <c:pt idx="1">
                  <c:v>Rural</c:v>
                </c:pt>
                <c:pt idx="2">
                  <c:v>Informal workers</c:v>
                </c:pt>
                <c:pt idx="3">
                  <c:v>Formal workers</c:v>
                </c:pt>
                <c:pt idx="4">
                  <c:v>Tertiary educated (25+)</c:v>
                </c:pt>
                <c:pt idx="5">
                  <c:v>Non-tertiary educated (25+)</c:v>
                </c:pt>
                <c:pt idx="6">
                  <c:v>Primary sector workers</c:v>
                </c:pt>
                <c:pt idx="7">
                  <c:v>Secondary sector workers</c:v>
                </c:pt>
                <c:pt idx="8">
                  <c:v>Tertiary sector workers</c:v>
                </c:pt>
              </c:strCache>
              <c:extLst/>
            </c:strRef>
          </c:cat>
          <c:val>
            <c:numRef>
              <c:f>('HH Characteristics'!$D$16:$G$16,'HH Characteristics'!$J$16:$N$16)</c:f>
              <c:numCache>
                <c:formatCode>0.0%</c:formatCode>
                <c:ptCount val="9"/>
                <c:pt idx="0">
                  <c:v>8.1610756485128347E-2</c:v>
                </c:pt>
                <c:pt idx="1">
                  <c:v>8.1668649459473441E-2</c:v>
                </c:pt>
                <c:pt idx="2">
                  <c:v>6.4800434456016409E-2</c:v>
                </c:pt>
                <c:pt idx="3">
                  <c:v>0.12500289260979519</c:v>
                </c:pt>
                <c:pt idx="4">
                  <c:v>0.11095717933840914</c:v>
                </c:pt>
                <c:pt idx="5">
                  <c:v>7.3931770979280331E-2</c:v>
                </c:pt>
                <c:pt idx="6">
                  <c:v>9.4770588487297761E-2</c:v>
                </c:pt>
                <c:pt idx="7">
                  <c:v>9.659908829174664E-2</c:v>
                </c:pt>
                <c:pt idx="8">
                  <c:v>0.11560213035309262</c:v>
                </c:pt>
              </c:numCache>
              <c:extLst/>
            </c:numRef>
          </c:val>
          <c:extLst>
            <c:ext xmlns:c16="http://schemas.microsoft.com/office/drawing/2014/chart" uri="{C3380CC4-5D6E-409C-BE32-E72D297353CC}">
              <c16:uniqueId val="{00000005-DD5D-4EA0-B6C5-83BF416BA8B7}"/>
            </c:ext>
          </c:extLst>
        </c:ser>
        <c:dLbls>
          <c:showLegendKey val="0"/>
          <c:showVal val="0"/>
          <c:showCatName val="0"/>
          <c:showSerName val="0"/>
          <c:showPercent val="0"/>
          <c:showBubbleSize val="0"/>
        </c:dLbls>
        <c:gapWidth val="150"/>
        <c:overlap val="100"/>
        <c:axId val="1956121759"/>
        <c:axId val="1"/>
      </c:barChart>
      <c:lineChart>
        <c:grouping val="standard"/>
        <c:varyColors val="0"/>
        <c:ser>
          <c:idx val="6"/>
          <c:order val="6"/>
          <c:tx>
            <c:strRef>
              <c:f>'HH Characteristics'!$B$17</c:f>
              <c:strCache>
                <c:ptCount val="1"/>
                <c:pt idx="0">
                  <c:v>Percent of the population</c:v>
                </c:pt>
              </c:strCache>
            </c:strRef>
          </c:tx>
          <c:spPr>
            <a:ln>
              <a:noFill/>
            </a:ln>
          </c:spPr>
          <c:marker>
            <c:symbol val="diamond"/>
            <c:size val="6"/>
            <c:spPr>
              <a:solidFill>
                <a:schemeClr val="bg1"/>
              </a:solidFill>
              <a:ln>
                <a:solidFill>
                  <a:schemeClr val="tx1"/>
                </a:solidFill>
              </a:ln>
            </c:spPr>
          </c:marker>
          <c:cat>
            <c:strRef>
              <c:f>('HH Characteristics'!$D$10:$G$10,'HH Characteristics'!$J$10:$N$10)</c:f>
              <c:strCache>
                <c:ptCount val="9"/>
                <c:pt idx="0">
                  <c:v>Urban</c:v>
                </c:pt>
                <c:pt idx="1">
                  <c:v>Rural</c:v>
                </c:pt>
                <c:pt idx="2">
                  <c:v>Informal workers</c:v>
                </c:pt>
                <c:pt idx="3">
                  <c:v>Formal workers</c:v>
                </c:pt>
                <c:pt idx="4">
                  <c:v>Tertiary educated (25+)</c:v>
                </c:pt>
                <c:pt idx="5">
                  <c:v>Non-tertiary educated (25+)</c:v>
                </c:pt>
                <c:pt idx="6">
                  <c:v>Primary sector workers</c:v>
                </c:pt>
                <c:pt idx="7">
                  <c:v>Secondary sector workers</c:v>
                </c:pt>
                <c:pt idx="8">
                  <c:v>Tertiary sector workers</c:v>
                </c:pt>
              </c:strCache>
              <c:extLst/>
            </c:strRef>
          </c:cat>
          <c:val>
            <c:numRef>
              <c:f>('HH Characteristics'!$D$17:$G$17,'HH Characteristics'!$J$17:$N$17)</c:f>
              <c:numCache>
                <c:formatCode>0.0%</c:formatCode>
                <c:ptCount val="9"/>
                <c:pt idx="0">
                  <c:v>0.94368564396090937</c:v>
                </c:pt>
                <c:pt idx="1">
                  <c:v>5.6314356039090602E-2</c:v>
                </c:pt>
                <c:pt idx="2">
                  <c:v>0.11552846594136409</c:v>
                </c:pt>
                <c:pt idx="3">
                  <c:v>0.3534792677065583</c:v>
                </c:pt>
                <c:pt idx="4">
                  <c:v>7.3799973784244327E-2</c:v>
                </c:pt>
                <c:pt idx="5">
                  <c:v>0.56548666637538048</c:v>
                </c:pt>
                <c:pt idx="6">
                  <c:v>4.0795793827645969E-2</c:v>
                </c:pt>
                <c:pt idx="7">
                  <c:v>7.7701169513989019E-2</c:v>
                </c:pt>
                <c:pt idx="8">
                  <c:v>0.34122689736531653</c:v>
                </c:pt>
              </c:numCache>
              <c:extLst/>
            </c:numRef>
          </c:val>
          <c:smooth val="0"/>
          <c:extLst>
            <c:ext xmlns:c16="http://schemas.microsoft.com/office/drawing/2014/chart" uri="{C3380CC4-5D6E-409C-BE32-E72D297353CC}">
              <c16:uniqueId val="{00000006-DD5D-4EA0-B6C5-83BF416BA8B7}"/>
            </c:ext>
          </c:extLst>
        </c:ser>
        <c:dLbls>
          <c:showLegendKey val="0"/>
          <c:showVal val="0"/>
          <c:showCatName val="0"/>
          <c:showSerName val="0"/>
          <c:showPercent val="0"/>
          <c:showBubbleSize val="0"/>
        </c:dLbls>
        <c:marker val="1"/>
        <c:smooth val="0"/>
        <c:axId val="3"/>
        <c:axId val="4"/>
      </c:lineChart>
      <c:catAx>
        <c:axId val="195612175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
        <c:crosses val="autoZero"/>
        <c:auto val="1"/>
        <c:lblAlgn val="ctr"/>
        <c:lblOffset val="100"/>
        <c:noMultiLvlLbl val="0"/>
      </c:catAx>
      <c:valAx>
        <c:axId val="1"/>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ln w="6350">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56121759"/>
        <c:crosses val="autoZero"/>
        <c:crossBetween val="between"/>
      </c:valAx>
      <c:catAx>
        <c:axId val="3"/>
        <c:scaling>
          <c:orientation val="minMax"/>
        </c:scaling>
        <c:delete val="1"/>
        <c:axPos val="b"/>
        <c:numFmt formatCode="General" sourceLinked="1"/>
        <c:majorTickMark val="out"/>
        <c:minorTickMark val="none"/>
        <c:tickLblPos val="nextTo"/>
        <c:crossAx val="4"/>
        <c:crosses val="autoZero"/>
        <c:auto val="1"/>
        <c:lblAlgn val="ctr"/>
        <c:lblOffset val="100"/>
        <c:noMultiLvlLbl val="0"/>
      </c:catAx>
      <c:valAx>
        <c:axId val="4"/>
        <c:scaling>
          <c:orientation val="minMax"/>
          <c:max val="1"/>
        </c:scaling>
        <c:delete val="1"/>
        <c:axPos val="r"/>
        <c:numFmt formatCode="0.0%" sourceLinked="1"/>
        <c:majorTickMark val="out"/>
        <c:minorTickMark val="none"/>
        <c:tickLblPos val="nextTo"/>
        <c:crossAx val="3"/>
        <c:crosses val="max"/>
        <c:crossBetween val="between"/>
      </c:valAx>
      <c:spPr>
        <a:noFill/>
        <a:ln w="25400">
          <a:noFill/>
        </a:ln>
      </c:spPr>
    </c:plotArea>
    <c:legend>
      <c:legendPos val="b"/>
      <c:layout>
        <c:manualLayout>
          <c:xMode val="edge"/>
          <c:yMode val="edge"/>
          <c:x val="6.406299859015667E-2"/>
          <c:y val="0.88001504579652201"/>
          <c:w val="0.90654580673985086"/>
          <c:h val="0.11998495420347799"/>
        </c:manualLayout>
      </c:layout>
      <c:overlay val="0"/>
      <c:spPr>
        <a:noFill/>
        <a:ln w="25400">
          <a:noFill/>
        </a:ln>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6750576671380552E-2"/>
          <c:y val="4.3513727641711526E-2"/>
          <c:w val="0.92637270983481113"/>
          <c:h val="0.7219990579334814"/>
        </c:manualLayout>
      </c:layout>
      <c:barChart>
        <c:barDir val="col"/>
        <c:grouping val="stacked"/>
        <c:varyColors val="0"/>
        <c:ser>
          <c:idx val="0"/>
          <c:order val="0"/>
          <c:tx>
            <c:strRef>
              <c:f>'Relative incidence'!$L$68</c:f>
              <c:strCache>
                <c:ptCount val="1"/>
                <c:pt idx="0">
                  <c:v>IRPF - labor income</c:v>
                </c:pt>
              </c:strCache>
            </c:strRef>
          </c:tx>
          <c:spPr>
            <a:solidFill>
              <a:schemeClr val="accent1">
                <a:lumMod val="20000"/>
                <a:lumOff val="80000"/>
              </a:schemeClr>
            </a:solidFill>
            <a:ln>
              <a:noFill/>
            </a:ln>
            <a:effectLst/>
          </c:spPr>
          <c:invertIfNegative val="0"/>
          <c:cat>
            <c:strRef>
              <c:f>('Relative incidence'!$K$69,'Relative incidence'!$K$73,'Relative incidence'!$K$75:$K$78)</c:f>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extLst/>
            </c:strRef>
          </c:cat>
          <c:val>
            <c:numRef>
              <c:f>('Relative incidence'!$L$69,'Relative incidence'!$L$73,'Relative incidence'!$L$75:$L$78)</c:f>
              <c:numCache>
                <c:formatCode>0.0%</c:formatCode>
                <c:ptCount val="6"/>
                <c:pt idx="0">
                  <c:v>-4.2478442607017421E-2</c:v>
                </c:pt>
                <c:pt idx="1">
                  <c:v>-3.3930107276655172E-2</c:v>
                </c:pt>
                <c:pt idx="2">
                  <c:v>-5.2947008990894578E-2</c:v>
                </c:pt>
                <c:pt idx="3">
                  <c:v>-4.5115224487945839E-2</c:v>
                </c:pt>
                <c:pt idx="4">
                  <c:v>-5.5917999465523456E-2</c:v>
                </c:pt>
                <c:pt idx="5">
                  <c:v>-4.4107680010410495E-2</c:v>
                </c:pt>
              </c:numCache>
              <c:extLst/>
            </c:numRef>
          </c:val>
          <c:extLst>
            <c:ext xmlns:c16="http://schemas.microsoft.com/office/drawing/2014/chart" uri="{C3380CC4-5D6E-409C-BE32-E72D297353CC}">
              <c16:uniqueId val="{00000000-E37F-4EE7-941E-18F856EF3C87}"/>
            </c:ext>
          </c:extLst>
        </c:ser>
        <c:ser>
          <c:idx val="1"/>
          <c:order val="1"/>
          <c:tx>
            <c:strRef>
              <c:f>'Relative incidence'!$M$68</c:f>
              <c:strCache>
                <c:ptCount val="1"/>
                <c:pt idx="0">
                  <c:v>IRPF - capital income</c:v>
                </c:pt>
              </c:strCache>
            </c:strRef>
          </c:tx>
          <c:spPr>
            <a:solidFill>
              <a:schemeClr val="accent1">
                <a:lumMod val="40000"/>
                <a:lumOff val="60000"/>
              </a:schemeClr>
            </a:solidFill>
            <a:ln>
              <a:noFill/>
            </a:ln>
            <a:effectLst/>
          </c:spPr>
          <c:invertIfNegative val="0"/>
          <c:cat>
            <c:strRef>
              <c:f>('Relative incidence'!$K$69,'Relative incidence'!$K$73,'Relative incidence'!$K$75:$K$78)</c:f>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extLst/>
            </c:strRef>
          </c:cat>
          <c:val>
            <c:numRef>
              <c:f>('Relative incidence'!$M$69,'Relative incidence'!$M$73,'Relative incidence'!$M$75:$M$78)</c:f>
              <c:numCache>
                <c:formatCode>0.0%</c:formatCode>
                <c:ptCount val="6"/>
                <c:pt idx="0">
                  <c:v>-5.7335570144868052E-3</c:v>
                </c:pt>
                <c:pt idx="1">
                  <c:v>-2.5324328668179957E-3</c:v>
                </c:pt>
                <c:pt idx="2">
                  <c:v>-5.2133917460170185E-3</c:v>
                </c:pt>
                <c:pt idx="3">
                  <c:v>-4.957684658169227E-3</c:v>
                </c:pt>
                <c:pt idx="4">
                  <c:v>-4.1055714471919091E-3</c:v>
                </c:pt>
                <c:pt idx="5">
                  <c:v>-5.6424569733808556E-3</c:v>
                </c:pt>
              </c:numCache>
              <c:extLst/>
            </c:numRef>
          </c:val>
          <c:extLst>
            <c:ext xmlns:c16="http://schemas.microsoft.com/office/drawing/2014/chart" uri="{C3380CC4-5D6E-409C-BE32-E72D297353CC}">
              <c16:uniqueId val="{00000001-E37F-4EE7-941E-18F856EF3C87}"/>
            </c:ext>
          </c:extLst>
        </c:ser>
        <c:ser>
          <c:idx val="2"/>
          <c:order val="2"/>
          <c:tx>
            <c:strRef>
              <c:f>'Relative incidence'!$N$68</c:f>
              <c:strCache>
                <c:ptCount val="1"/>
                <c:pt idx="0">
                  <c:v>IRPF - pensions (IASS)</c:v>
                </c:pt>
              </c:strCache>
            </c:strRef>
          </c:tx>
          <c:spPr>
            <a:solidFill>
              <a:schemeClr val="accent1">
                <a:lumMod val="60000"/>
                <a:lumOff val="40000"/>
              </a:schemeClr>
            </a:solidFill>
            <a:ln>
              <a:noFill/>
            </a:ln>
            <a:effectLst/>
          </c:spPr>
          <c:invertIfNegative val="0"/>
          <c:cat>
            <c:strRef>
              <c:f>('Relative incidence'!$K$69,'Relative incidence'!$K$73,'Relative incidence'!$K$75:$K$78)</c:f>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extLst/>
            </c:strRef>
          </c:cat>
          <c:val>
            <c:numRef>
              <c:f>('Relative incidence'!$N$69,'Relative incidence'!$N$73,'Relative incidence'!$N$75:$N$78)</c:f>
              <c:numCache>
                <c:formatCode>0.0%</c:formatCode>
                <c:ptCount val="6"/>
                <c:pt idx="0">
                  <c:v>-1.007773884469953E-3</c:v>
                </c:pt>
                <c:pt idx="1">
                  <c:v>-5.0731750160703149E-4</c:v>
                </c:pt>
                <c:pt idx="2">
                  <c:v>-1.9952588100428204E-4</c:v>
                </c:pt>
                <c:pt idx="3">
                  <c:v>-2.2282869438525657E-4</c:v>
                </c:pt>
                <c:pt idx="4">
                  <c:v>-9.4227834676792964E-5</c:v>
                </c:pt>
                <c:pt idx="5">
                  <c:v>-5.461943448095113E-4</c:v>
                </c:pt>
              </c:numCache>
              <c:extLst/>
            </c:numRef>
          </c:val>
          <c:extLst>
            <c:ext xmlns:c16="http://schemas.microsoft.com/office/drawing/2014/chart" uri="{C3380CC4-5D6E-409C-BE32-E72D297353CC}">
              <c16:uniqueId val="{00000002-E37F-4EE7-941E-18F856EF3C87}"/>
            </c:ext>
          </c:extLst>
        </c:ser>
        <c:ser>
          <c:idx val="3"/>
          <c:order val="3"/>
          <c:tx>
            <c:strRef>
              <c:f>'Relative incidence'!$O$68</c:f>
              <c:strCache>
                <c:ptCount val="1"/>
                <c:pt idx="0">
                  <c:v>FRL</c:v>
                </c:pt>
              </c:strCache>
            </c:strRef>
          </c:tx>
          <c:spPr>
            <a:solidFill>
              <a:schemeClr val="accent1">
                <a:lumMod val="50000"/>
              </a:schemeClr>
            </a:solidFill>
            <a:ln>
              <a:noFill/>
            </a:ln>
            <a:effectLst/>
          </c:spPr>
          <c:invertIfNegative val="0"/>
          <c:cat>
            <c:strRef>
              <c:f>('Relative incidence'!$K$69,'Relative incidence'!$K$73,'Relative incidence'!$K$75:$K$78)</c:f>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extLst/>
            </c:strRef>
          </c:cat>
          <c:val>
            <c:numRef>
              <c:f>('Relative incidence'!$O$69,'Relative incidence'!$O$73,'Relative incidence'!$O$75:$O$78)</c:f>
              <c:numCache>
                <c:formatCode>0.0%</c:formatCode>
                <c:ptCount val="6"/>
                <c:pt idx="0">
                  <c:v>-1.0949122489444067E-3</c:v>
                </c:pt>
                <c:pt idx="1">
                  <c:v>-1.0201728875649419E-3</c:v>
                </c:pt>
                <c:pt idx="2">
                  <c:v>-1.4439904985619068E-3</c:v>
                </c:pt>
                <c:pt idx="3">
                  <c:v>-1.350904065454197E-3</c:v>
                </c:pt>
                <c:pt idx="4">
                  <c:v>-1.5550991581273035E-3</c:v>
                </c:pt>
                <c:pt idx="5">
                  <c:v>-1.2747379606486376E-3</c:v>
                </c:pt>
              </c:numCache>
              <c:extLst/>
            </c:numRef>
          </c:val>
          <c:extLst>
            <c:ext xmlns:c16="http://schemas.microsoft.com/office/drawing/2014/chart" uri="{C3380CC4-5D6E-409C-BE32-E72D297353CC}">
              <c16:uniqueId val="{00000003-E37F-4EE7-941E-18F856EF3C87}"/>
            </c:ext>
          </c:extLst>
        </c:ser>
        <c:ser>
          <c:idx val="4"/>
          <c:order val="4"/>
          <c:tx>
            <c:strRef>
              <c:f>'Relative incidence'!$P$68</c:f>
              <c:strCache>
                <c:ptCount val="1"/>
                <c:pt idx="0">
                  <c:v>Contributions to health - employee &amp; employer</c:v>
                </c:pt>
              </c:strCache>
            </c:strRef>
          </c:tx>
          <c:spPr>
            <a:solidFill>
              <a:schemeClr val="accent3">
                <a:lumMod val="40000"/>
                <a:lumOff val="60000"/>
              </a:schemeClr>
            </a:solidFill>
            <a:ln>
              <a:noFill/>
            </a:ln>
            <a:effectLst/>
          </c:spPr>
          <c:invertIfNegative val="0"/>
          <c:cat>
            <c:strRef>
              <c:f>('Relative incidence'!$K$69,'Relative incidence'!$K$73,'Relative incidence'!$K$75:$K$78)</c:f>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extLst/>
            </c:strRef>
          </c:cat>
          <c:val>
            <c:numRef>
              <c:f>('Relative incidence'!$P$69,'Relative incidence'!$P$73,'Relative incidence'!$P$75:$P$78)</c:f>
              <c:numCache>
                <c:formatCode>0.0%</c:formatCode>
                <c:ptCount val="6"/>
                <c:pt idx="0">
                  <c:v>-5.2577997525115078E-2</c:v>
                </c:pt>
                <c:pt idx="1">
                  <c:v>-5.0891401333484791E-2</c:v>
                </c:pt>
                <c:pt idx="2">
                  <c:v>-6.6058704165931931E-2</c:v>
                </c:pt>
                <c:pt idx="3">
                  <c:v>-6.174588600519814E-2</c:v>
                </c:pt>
                <c:pt idx="4">
                  <c:v>-6.5638423679383398E-2</c:v>
                </c:pt>
                <c:pt idx="5">
                  <c:v>-5.4718169268575013E-2</c:v>
                </c:pt>
              </c:numCache>
              <c:extLst/>
            </c:numRef>
          </c:val>
          <c:extLst>
            <c:ext xmlns:c16="http://schemas.microsoft.com/office/drawing/2014/chart" uri="{C3380CC4-5D6E-409C-BE32-E72D297353CC}">
              <c16:uniqueId val="{00000004-E37F-4EE7-941E-18F856EF3C87}"/>
            </c:ext>
          </c:extLst>
        </c:ser>
        <c:ser>
          <c:idx val="5"/>
          <c:order val="5"/>
          <c:tx>
            <c:strRef>
              <c:f>'Relative incidence'!$Q$68</c:f>
              <c:strCache>
                <c:ptCount val="1"/>
                <c:pt idx="0">
                  <c:v>Contributions to health - pensionist</c:v>
                </c:pt>
              </c:strCache>
            </c:strRef>
          </c:tx>
          <c:spPr>
            <a:solidFill>
              <a:schemeClr val="accent3"/>
            </a:solidFill>
            <a:ln>
              <a:noFill/>
            </a:ln>
            <a:effectLst/>
          </c:spPr>
          <c:invertIfNegative val="0"/>
          <c:cat>
            <c:strRef>
              <c:f>('Relative incidence'!$K$69,'Relative incidence'!$K$73,'Relative incidence'!$K$75:$K$78)</c:f>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extLst/>
            </c:strRef>
          </c:cat>
          <c:val>
            <c:numRef>
              <c:f>('Relative incidence'!$Q$69,'Relative incidence'!$Q$73,'Relative incidence'!$Q$75:$Q$78)</c:f>
              <c:numCache>
                <c:formatCode>0.0%</c:formatCode>
                <c:ptCount val="6"/>
                <c:pt idx="0">
                  <c:v>-1.5544248958961422E-3</c:v>
                </c:pt>
                <c:pt idx="1">
                  <c:v>-1.1847440655402364E-3</c:v>
                </c:pt>
                <c:pt idx="2">
                  <c:v>-1.1839413709152206E-4</c:v>
                </c:pt>
                <c:pt idx="3">
                  <c:v>-5.6485941313699675E-4</c:v>
                </c:pt>
                <c:pt idx="4">
                  <c:v>-6.160662900032236E-5</c:v>
                </c:pt>
                <c:pt idx="5">
                  <c:v>-7.5370571317710301E-4</c:v>
                </c:pt>
              </c:numCache>
              <c:extLst/>
            </c:numRef>
          </c:val>
          <c:extLst>
            <c:ext xmlns:c16="http://schemas.microsoft.com/office/drawing/2014/chart" uri="{C3380CC4-5D6E-409C-BE32-E72D297353CC}">
              <c16:uniqueId val="{00000005-E37F-4EE7-941E-18F856EF3C87}"/>
            </c:ext>
          </c:extLst>
        </c:ser>
        <c:ser>
          <c:idx val="6"/>
          <c:order val="6"/>
          <c:tx>
            <c:strRef>
              <c:f>'Relative incidence'!$R$68</c:f>
              <c:strCache>
                <c:ptCount val="1"/>
                <c:pt idx="0">
                  <c:v>AFAM-PE</c:v>
                </c:pt>
              </c:strCache>
            </c:strRef>
          </c:tx>
          <c:spPr>
            <a:solidFill>
              <a:schemeClr val="accent2">
                <a:lumMod val="40000"/>
                <a:lumOff val="60000"/>
              </a:schemeClr>
            </a:solidFill>
            <a:ln>
              <a:noFill/>
            </a:ln>
            <a:effectLst/>
          </c:spPr>
          <c:invertIfNegative val="0"/>
          <c:cat>
            <c:strRef>
              <c:f>('Relative incidence'!$K$69,'Relative incidence'!$K$73,'Relative incidence'!$K$75:$K$78)</c:f>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extLst/>
            </c:strRef>
          </c:cat>
          <c:val>
            <c:numRef>
              <c:f>('Relative incidence'!$R$69,'Relative incidence'!$R$73,'Relative incidence'!$R$75:$R$78)</c:f>
              <c:numCache>
                <c:formatCode>0.0%</c:formatCode>
                <c:ptCount val="6"/>
                <c:pt idx="0">
                  <c:v>4.0804108401945682E-5</c:v>
                </c:pt>
                <c:pt idx="1">
                  <c:v>1.642207287723544E-2</c:v>
                </c:pt>
                <c:pt idx="2">
                  <c:v>3.4100491345256806E-3</c:v>
                </c:pt>
                <c:pt idx="3">
                  <c:v>1.607864693944926E-2</c:v>
                </c:pt>
                <c:pt idx="4">
                  <c:v>4.9836339351719145E-5</c:v>
                </c:pt>
                <c:pt idx="5">
                  <c:v>2.1656193093907563E-4</c:v>
                </c:pt>
              </c:numCache>
              <c:extLst/>
            </c:numRef>
          </c:val>
          <c:extLst>
            <c:ext xmlns:c16="http://schemas.microsoft.com/office/drawing/2014/chart" uri="{C3380CC4-5D6E-409C-BE32-E72D297353CC}">
              <c16:uniqueId val="{00000006-E37F-4EE7-941E-18F856EF3C87}"/>
            </c:ext>
          </c:extLst>
        </c:ser>
        <c:ser>
          <c:idx val="7"/>
          <c:order val="7"/>
          <c:tx>
            <c:strRef>
              <c:f>'Relative incidence'!$S$68</c:f>
              <c:strCache>
                <c:ptCount val="1"/>
                <c:pt idx="0">
                  <c:v>Food transfers</c:v>
                </c:pt>
              </c:strCache>
            </c:strRef>
          </c:tx>
          <c:spPr>
            <a:solidFill>
              <a:schemeClr val="accent2">
                <a:lumMod val="60000"/>
                <a:lumOff val="40000"/>
              </a:schemeClr>
            </a:solidFill>
            <a:ln>
              <a:noFill/>
            </a:ln>
            <a:effectLst/>
          </c:spPr>
          <c:invertIfNegative val="0"/>
          <c:cat>
            <c:strRef>
              <c:f>('Relative incidence'!$K$69,'Relative incidence'!$K$73,'Relative incidence'!$K$75:$K$78)</c:f>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extLst/>
            </c:strRef>
          </c:cat>
          <c:val>
            <c:numRef>
              <c:f>('Relative incidence'!$S$69,'Relative incidence'!$S$73,'Relative incidence'!$S$75:$S$78)</c:f>
              <c:numCache>
                <c:formatCode>0.0%</c:formatCode>
                <c:ptCount val="6"/>
                <c:pt idx="0">
                  <c:v>2.3013626204139133E-4</c:v>
                </c:pt>
                <c:pt idx="1">
                  <c:v>1.0280104039268155E-2</c:v>
                </c:pt>
                <c:pt idx="2">
                  <c:v>1.5158054693819414E-3</c:v>
                </c:pt>
                <c:pt idx="3">
                  <c:v>9.0988487045105641E-3</c:v>
                </c:pt>
                <c:pt idx="4">
                  <c:v>7.6957960391584702E-5</c:v>
                </c:pt>
                <c:pt idx="5">
                  <c:v>2.6182990586916558E-4</c:v>
                </c:pt>
              </c:numCache>
              <c:extLst/>
            </c:numRef>
          </c:val>
          <c:extLst>
            <c:ext xmlns:c16="http://schemas.microsoft.com/office/drawing/2014/chart" uri="{C3380CC4-5D6E-409C-BE32-E72D297353CC}">
              <c16:uniqueId val="{00000007-E37F-4EE7-941E-18F856EF3C87}"/>
            </c:ext>
          </c:extLst>
        </c:ser>
        <c:ser>
          <c:idx val="8"/>
          <c:order val="8"/>
          <c:tx>
            <c:strRef>
              <c:f>'Relative incidence'!$T$68</c:f>
              <c:strCache>
                <c:ptCount val="1"/>
                <c:pt idx="0">
                  <c:v>Old-age and disability pensions</c:v>
                </c:pt>
              </c:strCache>
            </c:strRef>
          </c:tx>
          <c:spPr>
            <a:solidFill>
              <a:schemeClr val="accent2">
                <a:lumMod val="75000"/>
              </a:schemeClr>
            </a:solidFill>
            <a:ln>
              <a:noFill/>
            </a:ln>
            <a:effectLst/>
          </c:spPr>
          <c:invertIfNegative val="0"/>
          <c:cat>
            <c:strRef>
              <c:f>('Relative incidence'!$K$69,'Relative incidence'!$K$73,'Relative incidence'!$K$75:$K$78)</c:f>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extLst/>
            </c:strRef>
          </c:cat>
          <c:val>
            <c:numRef>
              <c:f>('Relative incidence'!$T$69,'Relative incidence'!$T$73,'Relative incidence'!$T$75:$T$78)</c:f>
              <c:numCache>
                <c:formatCode>0.0%</c:formatCode>
                <c:ptCount val="6"/>
                <c:pt idx="0">
                  <c:v>2.1001491502117228E-3</c:v>
                </c:pt>
                <c:pt idx="1">
                  <c:v>2.8074058355776351E-3</c:v>
                </c:pt>
                <c:pt idx="2">
                  <c:v>5.6422047260166466E-4</c:v>
                </c:pt>
                <c:pt idx="3">
                  <c:v>2.9100890671067991E-3</c:v>
                </c:pt>
                <c:pt idx="4">
                  <c:v>1.9014847864795757E-4</c:v>
                </c:pt>
                <c:pt idx="5">
                  <c:v>3.758265787648919E-3</c:v>
                </c:pt>
              </c:numCache>
              <c:extLst/>
            </c:numRef>
          </c:val>
          <c:extLst>
            <c:ext xmlns:c16="http://schemas.microsoft.com/office/drawing/2014/chart" uri="{C3380CC4-5D6E-409C-BE32-E72D297353CC}">
              <c16:uniqueId val="{00000008-E37F-4EE7-941E-18F856EF3C87}"/>
            </c:ext>
          </c:extLst>
        </c:ser>
        <c:ser>
          <c:idx val="9"/>
          <c:order val="9"/>
          <c:tx>
            <c:strRef>
              <c:f>'Relative incidence'!$U$68</c:f>
              <c:strCache>
                <c:ptCount val="1"/>
                <c:pt idx="0">
                  <c:v>Other direct transfers</c:v>
                </c:pt>
              </c:strCache>
            </c:strRef>
          </c:tx>
          <c:spPr>
            <a:solidFill>
              <a:schemeClr val="accent2">
                <a:lumMod val="50000"/>
              </a:schemeClr>
            </a:solidFill>
            <a:ln>
              <a:noFill/>
            </a:ln>
            <a:effectLst/>
          </c:spPr>
          <c:invertIfNegative val="0"/>
          <c:cat>
            <c:strRef>
              <c:f>('Relative incidence'!$K$69,'Relative incidence'!$K$73,'Relative incidence'!$K$75:$K$78)</c:f>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extLst/>
            </c:strRef>
          </c:cat>
          <c:val>
            <c:numRef>
              <c:f>('Relative incidence'!$U$69,'Relative incidence'!$U$73,'Relative incidence'!$U$75:$U$78)</c:f>
              <c:numCache>
                <c:formatCode>0.0%</c:formatCode>
                <c:ptCount val="6"/>
                <c:pt idx="0">
                  <c:v>3.7353156216396923E-3</c:v>
                </c:pt>
                <c:pt idx="1">
                  <c:v>8.9859070546205733E-3</c:v>
                </c:pt>
                <c:pt idx="2">
                  <c:v>7.7364021591198638E-3</c:v>
                </c:pt>
                <c:pt idx="3">
                  <c:v>1.8674024122733227E-2</c:v>
                </c:pt>
                <c:pt idx="4">
                  <c:v>3.1583361834203157E-3</c:v>
                </c:pt>
                <c:pt idx="5">
                  <c:v>9.940705236720521E-3</c:v>
                </c:pt>
              </c:numCache>
              <c:extLst/>
            </c:numRef>
          </c:val>
          <c:extLst>
            <c:ext xmlns:c16="http://schemas.microsoft.com/office/drawing/2014/chart" uri="{C3380CC4-5D6E-409C-BE32-E72D297353CC}">
              <c16:uniqueId val="{00000009-E37F-4EE7-941E-18F856EF3C87}"/>
            </c:ext>
          </c:extLst>
        </c:ser>
        <c:dLbls>
          <c:showLegendKey val="0"/>
          <c:showVal val="0"/>
          <c:showCatName val="0"/>
          <c:showSerName val="0"/>
          <c:showPercent val="0"/>
          <c:showBubbleSize val="0"/>
        </c:dLbls>
        <c:gapWidth val="150"/>
        <c:overlap val="100"/>
        <c:axId val="176042463"/>
        <c:axId val="820854911"/>
      </c:barChart>
      <c:lineChart>
        <c:grouping val="standard"/>
        <c:varyColors val="0"/>
        <c:ser>
          <c:idx val="10"/>
          <c:order val="10"/>
          <c:tx>
            <c:strRef>
              <c:f>'Relative incidence'!$V$68</c:f>
              <c:strCache>
                <c:ptCount val="1"/>
                <c:pt idx="0">
                  <c:v>Net position</c:v>
                </c:pt>
              </c:strCache>
            </c:strRef>
          </c:tx>
          <c:spPr>
            <a:ln w="28575" cap="rnd">
              <a:noFill/>
              <a:round/>
            </a:ln>
            <a:effectLst/>
          </c:spPr>
          <c:marker>
            <c:symbol val="circle"/>
            <c:size val="5"/>
            <c:spPr>
              <a:solidFill>
                <a:schemeClr val="accent4"/>
              </a:solidFill>
              <a:ln w="9525">
                <a:solidFill>
                  <a:schemeClr val="accent4"/>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('Relative incidence'!$K$69,'Relative incidence'!$K$73,'Relative incidence'!$K$75:$K$78)</c:f>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extLst/>
            </c:strRef>
          </c:cat>
          <c:val>
            <c:numRef>
              <c:f>('Relative incidence'!$V$69,'Relative incidence'!$V$73,'Relative incidence'!$V$75:$V$78)</c:f>
              <c:numCache>
                <c:formatCode>0.0%</c:formatCode>
                <c:ptCount val="6"/>
                <c:pt idx="0">
                  <c:v>-9.8340703033635055E-2</c:v>
                </c:pt>
                <c:pt idx="1">
                  <c:v>-5.157068612496836E-2</c:v>
                </c:pt>
                <c:pt idx="2">
                  <c:v>-0.11275453818387209</c:v>
                </c:pt>
                <c:pt idx="3">
                  <c:v>-6.7195778490489813E-2</c:v>
                </c:pt>
                <c:pt idx="4">
                  <c:v>-0.1238976492520916</c:v>
                </c:pt>
                <c:pt idx="5">
                  <c:v>-9.2865581409823941E-2</c:v>
                </c:pt>
              </c:numCache>
              <c:extLst/>
            </c:numRef>
          </c:val>
          <c:smooth val="0"/>
          <c:extLst>
            <c:ext xmlns:c16="http://schemas.microsoft.com/office/drawing/2014/chart" uri="{C3380CC4-5D6E-409C-BE32-E72D297353CC}">
              <c16:uniqueId val="{0000000A-E37F-4EE7-941E-18F856EF3C87}"/>
            </c:ext>
          </c:extLst>
        </c:ser>
        <c:dLbls>
          <c:showLegendKey val="0"/>
          <c:showVal val="0"/>
          <c:showCatName val="0"/>
          <c:showSerName val="0"/>
          <c:showPercent val="0"/>
          <c:showBubbleSize val="0"/>
        </c:dLbls>
        <c:marker val="1"/>
        <c:smooth val="0"/>
        <c:axId val="176042463"/>
        <c:axId val="820854911"/>
      </c:lineChart>
      <c:catAx>
        <c:axId val="176042463"/>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0854911"/>
        <c:crosses val="autoZero"/>
        <c:auto val="1"/>
        <c:lblAlgn val="ctr"/>
        <c:lblOffset val="100"/>
        <c:noMultiLvlLbl val="0"/>
      </c:catAx>
      <c:valAx>
        <c:axId val="82085491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6042463"/>
        <c:crosses val="autoZero"/>
        <c:crossBetween val="between"/>
      </c:valAx>
      <c:spPr>
        <a:noFill/>
        <a:ln>
          <a:noFill/>
        </a:ln>
        <a:effectLst/>
      </c:spPr>
    </c:plotArea>
    <c:legend>
      <c:legendPos val="b"/>
      <c:layout>
        <c:manualLayout>
          <c:xMode val="edge"/>
          <c:yMode val="edge"/>
          <c:x val="0.11772930693012178"/>
          <c:y val="1.3020284080034762E-2"/>
          <c:w val="0.86060354172124554"/>
          <c:h val="0.21190421809173071"/>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6750576671380552E-2"/>
          <c:y val="0.10948005303543241"/>
          <c:w val="0.92637270983481113"/>
          <c:h val="0.81749656732048437"/>
        </c:manualLayout>
      </c:layout>
      <c:barChart>
        <c:barDir val="col"/>
        <c:grouping val="stacked"/>
        <c:varyColors val="0"/>
        <c:ser>
          <c:idx val="0"/>
          <c:order val="0"/>
          <c:tx>
            <c:strRef>
              <c:f>'Relative incidence_decile6'!$L$74</c:f>
              <c:strCache>
                <c:ptCount val="1"/>
                <c:pt idx="0">
                  <c:v>IRPF - labor income</c:v>
                </c:pt>
              </c:strCache>
            </c:strRef>
          </c:tx>
          <c:spPr>
            <a:solidFill>
              <a:schemeClr val="accent1">
                <a:lumMod val="20000"/>
                <a:lumOff val="80000"/>
              </a:schemeClr>
            </a:solidFill>
            <a:ln>
              <a:noFill/>
            </a:ln>
            <a:effectLst/>
          </c:spPr>
          <c:invertIfNegative val="0"/>
          <c:cat>
            <c:strRef>
              <c:f>('Relative incidence_decile6'!$K$75,'Relative incidence_decile6'!$K$79,'Relative incidence_decile6'!$K$81:$K$84)</c:f>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extLst/>
            </c:strRef>
          </c:cat>
          <c:val>
            <c:numRef>
              <c:f>('Relative incidence_decile6'!$L$75,'Relative incidence_decile6'!$L$79,'Relative incidence_decile6'!$L$81:$L$84)</c:f>
              <c:numCache>
                <c:formatCode>0.0%</c:formatCode>
                <c:ptCount val="6"/>
                <c:pt idx="0">
                  <c:v>0</c:v>
                </c:pt>
                <c:pt idx="1">
                  <c:v>-7.0440857285589634E-3</c:v>
                </c:pt>
                <c:pt idx="2">
                  <c:v>-1.5990183862834701E-2</c:v>
                </c:pt>
                <c:pt idx="3">
                  <c:v>-4.9639009598978961E-2</c:v>
                </c:pt>
                <c:pt idx="4">
                  <c:v>-2.3084565668280857E-3</c:v>
                </c:pt>
                <c:pt idx="5">
                  <c:v>-1.248474512704559E-2</c:v>
                </c:pt>
              </c:numCache>
              <c:extLst/>
            </c:numRef>
          </c:val>
          <c:extLst>
            <c:ext xmlns:c16="http://schemas.microsoft.com/office/drawing/2014/chart" uri="{C3380CC4-5D6E-409C-BE32-E72D297353CC}">
              <c16:uniqueId val="{00000000-E96A-4979-9F4F-F9FDEB66B685}"/>
            </c:ext>
          </c:extLst>
        </c:ser>
        <c:ser>
          <c:idx val="1"/>
          <c:order val="1"/>
          <c:tx>
            <c:strRef>
              <c:f>'Relative incidence_decile6'!$M$74</c:f>
              <c:strCache>
                <c:ptCount val="1"/>
                <c:pt idx="0">
                  <c:v>IRPF - capital income</c:v>
                </c:pt>
              </c:strCache>
            </c:strRef>
          </c:tx>
          <c:spPr>
            <a:solidFill>
              <a:schemeClr val="accent1">
                <a:lumMod val="40000"/>
                <a:lumOff val="60000"/>
              </a:schemeClr>
            </a:solidFill>
            <a:ln>
              <a:noFill/>
            </a:ln>
            <a:effectLst/>
          </c:spPr>
          <c:invertIfNegative val="0"/>
          <c:cat>
            <c:strRef>
              <c:f>('Relative incidence_decile6'!$K$75,'Relative incidence_decile6'!$K$79,'Relative incidence_decile6'!$K$81:$K$84)</c:f>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extLst/>
            </c:strRef>
          </c:cat>
          <c:val>
            <c:numRef>
              <c:f>('Relative incidence_decile6'!$M$75,'Relative incidence_decile6'!$M$79,'Relative incidence_decile6'!$M$81:$M$84)</c:f>
              <c:numCache>
                <c:formatCode>0.0%</c:formatCode>
                <c:ptCount val="6"/>
                <c:pt idx="0">
                  <c:v>-2.484284932077432E-3</c:v>
                </c:pt>
                <c:pt idx="1">
                  <c:v>-6.6362416529923461E-4</c:v>
                </c:pt>
                <c:pt idx="2">
                  <c:v>-1.2097286563320432E-3</c:v>
                </c:pt>
                <c:pt idx="3">
                  <c:v>-1.9895721775609666E-3</c:v>
                </c:pt>
                <c:pt idx="4">
                  <c:v>-6.3406258248375352E-4</c:v>
                </c:pt>
                <c:pt idx="5">
                  <c:v>0</c:v>
                </c:pt>
              </c:numCache>
              <c:extLst/>
            </c:numRef>
          </c:val>
          <c:extLst>
            <c:ext xmlns:c16="http://schemas.microsoft.com/office/drawing/2014/chart" uri="{C3380CC4-5D6E-409C-BE32-E72D297353CC}">
              <c16:uniqueId val="{00000001-E96A-4979-9F4F-F9FDEB66B685}"/>
            </c:ext>
          </c:extLst>
        </c:ser>
        <c:ser>
          <c:idx val="2"/>
          <c:order val="2"/>
          <c:tx>
            <c:strRef>
              <c:f>'Relative incidence_decile6'!$N$74</c:f>
              <c:strCache>
                <c:ptCount val="1"/>
                <c:pt idx="0">
                  <c:v>IRPF - pensions (IASS)</c:v>
                </c:pt>
              </c:strCache>
            </c:strRef>
          </c:tx>
          <c:spPr>
            <a:solidFill>
              <a:schemeClr val="accent1">
                <a:lumMod val="60000"/>
                <a:lumOff val="40000"/>
              </a:schemeClr>
            </a:solidFill>
            <a:ln>
              <a:noFill/>
            </a:ln>
            <a:effectLst/>
          </c:spPr>
          <c:invertIfNegative val="0"/>
          <c:cat>
            <c:strRef>
              <c:f>('Relative incidence_decile6'!$K$75,'Relative incidence_decile6'!$K$79,'Relative incidence_decile6'!$K$81:$K$84)</c:f>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extLst/>
            </c:strRef>
          </c:cat>
          <c:val>
            <c:numRef>
              <c:f>('Relative incidence_decile6'!$N$75,'Relative incidence_decile6'!$N$79,'Relative incidence_decile6'!$N$81:$N$84)</c:f>
              <c:numCache>
                <c:formatCode>0.0%</c:formatCode>
                <c:ptCount val="6"/>
                <c:pt idx="0">
                  <c:v>0</c:v>
                </c:pt>
                <c:pt idx="1">
                  <c:v>-7.7462885339663667E-5</c:v>
                </c:pt>
                <c:pt idx="2">
                  <c:v>-5.2069566998412379E-5</c:v>
                </c:pt>
                <c:pt idx="3">
                  <c:v>-5.4707439042036874E-5</c:v>
                </c:pt>
                <c:pt idx="4">
                  <c:v>0</c:v>
                </c:pt>
                <c:pt idx="5">
                  <c:v>0</c:v>
                </c:pt>
              </c:numCache>
              <c:extLst/>
            </c:numRef>
          </c:val>
          <c:extLst>
            <c:ext xmlns:c16="http://schemas.microsoft.com/office/drawing/2014/chart" uri="{C3380CC4-5D6E-409C-BE32-E72D297353CC}">
              <c16:uniqueId val="{00000002-E96A-4979-9F4F-F9FDEB66B685}"/>
            </c:ext>
          </c:extLst>
        </c:ser>
        <c:ser>
          <c:idx val="3"/>
          <c:order val="3"/>
          <c:tx>
            <c:strRef>
              <c:f>'Relative incidence_decile6'!$O$74</c:f>
              <c:strCache>
                <c:ptCount val="1"/>
                <c:pt idx="0">
                  <c:v>FRL</c:v>
                </c:pt>
              </c:strCache>
            </c:strRef>
          </c:tx>
          <c:spPr>
            <a:solidFill>
              <a:schemeClr val="accent1">
                <a:lumMod val="50000"/>
              </a:schemeClr>
            </a:solidFill>
            <a:ln>
              <a:noFill/>
            </a:ln>
            <a:effectLst/>
          </c:spPr>
          <c:invertIfNegative val="0"/>
          <c:cat>
            <c:strRef>
              <c:f>('Relative incidence_decile6'!$K$75,'Relative incidence_decile6'!$K$79,'Relative incidence_decile6'!$K$81:$K$84)</c:f>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extLst/>
            </c:strRef>
          </c:cat>
          <c:val>
            <c:numRef>
              <c:f>('Relative incidence_decile6'!$O$75,'Relative incidence_decile6'!$O$79,'Relative incidence_decile6'!$O$81:$O$84)</c:f>
              <c:numCache>
                <c:formatCode>0.0%</c:formatCode>
                <c:ptCount val="6"/>
                <c:pt idx="0">
                  <c:v>-7.4742797833767286E-4</c:v>
                </c:pt>
                <c:pt idx="1">
                  <c:v>-1.0539810456554805E-3</c:v>
                </c:pt>
                <c:pt idx="2">
                  <c:v>-1.4941498723400094E-3</c:v>
                </c:pt>
                <c:pt idx="3">
                  <c:v>-1.5478493053694715E-3</c:v>
                </c:pt>
                <c:pt idx="4">
                  <c:v>-1.420545901195984E-3</c:v>
                </c:pt>
                <c:pt idx="5">
                  <c:v>-1.3125218930060472E-3</c:v>
                </c:pt>
              </c:numCache>
              <c:extLst/>
            </c:numRef>
          </c:val>
          <c:extLst>
            <c:ext xmlns:c16="http://schemas.microsoft.com/office/drawing/2014/chart" uri="{C3380CC4-5D6E-409C-BE32-E72D297353CC}">
              <c16:uniqueId val="{00000003-E96A-4979-9F4F-F9FDEB66B685}"/>
            </c:ext>
          </c:extLst>
        </c:ser>
        <c:ser>
          <c:idx val="4"/>
          <c:order val="4"/>
          <c:tx>
            <c:strRef>
              <c:f>'Relative incidence_decile6'!$P$74</c:f>
              <c:strCache>
                <c:ptCount val="1"/>
                <c:pt idx="0">
                  <c:v>Contributions to health - employee &amp; employer</c:v>
                </c:pt>
              </c:strCache>
            </c:strRef>
          </c:tx>
          <c:spPr>
            <a:solidFill>
              <a:schemeClr val="accent3">
                <a:lumMod val="40000"/>
                <a:lumOff val="60000"/>
              </a:schemeClr>
            </a:solidFill>
            <a:ln>
              <a:noFill/>
            </a:ln>
            <a:effectLst/>
          </c:spPr>
          <c:invertIfNegative val="0"/>
          <c:cat>
            <c:strRef>
              <c:f>('Relative incidence_decile6'!$K$75,'Relative incidence_decile6'!$K$79,'Relative incidence_decile6'!$K$81:$K$84)</c:f>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extLst/>
            </c:strRef>
          </c:cat>
          <c:val>
            <c:numRef>
              <c:f>('Relative incidence_decile6'!$P$75,'Relative incidence_decile6'!$P$79,'Relative incidence_decile6'!$P$81:$P$84)</c:f>
              <c:numCache>
                <c:formatCode>0.0%</c:formatCode>
                <c:ptCount val="6"/>
                <c:pt idx="0">
                  <c:v>-3.0748160272228604E-2</c:v>
                </c:pt>
                <c:pt idx="1">
                  <c:v>-5.4207964540043209E-2</c:v>
                </c:pt>
                <c:pt idx="2">
                  <c:v>-7.5408858043270938E-2</c:v>
                </c:pt>
                <c:pt idx="3">
                  <c:v>-7.6362142202132763E-2</c:v>
                </c:pt>
                <c:pt idx="4">
                  <c:v>-6.2773437662295012E-2</c:v>
                </c:pt>
                <c:pt idx="5">
                  <c:v>-6.3034452418601408E-2</c:v>
                </c:pt>
              </c:numCache>
              <c:extLst/>
            </c:numRef>
          </c:val>
          <c:extLst>
            <c:ext xmlns:c16="http://schemas.microsoft.com/office/drawing/2014/chart" uri="{C3380CC4-5D6E-409C-BE32-E72D297353CC}">
              <c16:uniqueId val="{00000004-E96A-4979-9F4F-F9FDEB66B685}"/>
            </c:ext>
          </c:extLst>
        </c:ser>
        <c:ser>
          <c:idx val="5"/>
          <c:order val="5"/>
          <c:tx>
            <c:strRef>
              <c:f>'Relative incidence_decile6'!$Q$74</c:f>
              <c:strCache>
                <c:ptCount val="1"/>
                <c:pt idx="0">
                  <c:v>Contributions to health - pensionist</c:v>
                </c:pt>
              </c:strCache>
            </c:strRef>
          </c:tx>
          <c:spPr>
            <a:solidFill>
              <a:schemeClr val="accent3"/>
            </a:solidFill>
            <a:ln>
              <a:noFill/>
            </a:ln>
            <a:effectLst/>
          </c:spPr>
          <c:invertIfNegative val="0"/>
          <c:cat>
            <c:strRef>
              <c:f>('Relative incidence_decile6'!$K$75,'Relative incidence_decile6'!$K$79,'Relative incidence_decile6'!$K$81:$K$84)</c:f>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extLst/>
            </c:strRef>
          </c:cat>
          <c:val>
            <c:numRef>
              <c:f>('Relative incidence_decile6'!$Q$75,'Relative incidence_decile6'!$Q$79,'Relative incidence_decile6'!$Q$81:$Q$84)</c:f>
              <c:numCache>
                <c:formatCode>0.0%</c:formatCode>
                <c:ptCount val="6"/>
                <c:pt idx="0">
                  <c:v>-4.978929608843663E-3</c:v>
                </c:pt>
                <c:pt idx="1">
                  <c:v>-1.317713394762172E-3</c:v>
                </c:pt>
                <c:pt idx="2">
                  <c:v>-1.9568097891270163E-4</c:v>
                </c:pt>
                <c:pt idx="3">
                  <c:v>-6.1122254502764283E-4</c:v>
                </c:pt>
                <c:pt idx="4">
                  <c:v>-1.7853160187965549E-4</c:v>
                </c:pt>
                <c:pt idx="5">
                  <c:v>-1.134052458605269E-3</c:v>
                </c:pt>
              </c:numCache>
              <c:extLst/>
            </c:numRef>
          </c:val>
          <c:extLst>
            <c:ext xmlns:c16="http://schemas.microsoft.com/office/drawing/2014/chart" uri="{C3380CC4-5D6E-409C-BE32-E72D297353CC}">
              <c16:uniqueId val="{00000005-E96A-4979-9F4F-F9FDEB66B685}"/>
            </c:ext>
          </c:extLst>
        </c:ser>
        <c:ser>
          <c:idx val="6"/>
          <c:order val="6"/>
          <c:tx>
            <c:strRef>
              <c:f>'Relative incidence_decile6'!$R$74</c:f>
              <c:strCache>
                <c:ptCount val="1"/>
                <c:pt idx="0">
                  <c:v>AFAM-PE</c:v>
                </c:pt>
              </c:strCache>
            </c:strRef>
          </c:tx>
          <c:spPr>
            <a:solidFill>
              <a:schemeClr val="accent2">
                <a:lumMod val="40000"/>
                <a:lumOff val="60000"/>
              </a:schemeClr>
            </a:solidFill>
            <a:ln>
              <a:noFill/>
            </a:ln>
            <a:effectLst/>
          </c:spPr>
          <c:invertIfNegative val="0"/>
          <c:cat>
            <c:strRef>
              <c:f>('Relative incidence_decile6'!$K$75,'Relative incidence_decile6'!$K$79,'Relative incidence_decile6'!$K$81:$K$84)</c:f>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extLst/>
            </c:strRef>
          </c:cat>
          <c:val>
            <c:numRef>
              <c:f>('Relative incidence_decile6'!$R$75,'Relative incidence_decile6'!$R$79,'Relative incidence_decile6'!$R$81:$R$84)</c:f>
              <c:numCache>
                <c:formatCode>0.0%</c:formatCode>
                <c:ptCount val="6"/>
                <c:pt idx="0">
                  <c:v>7.2931059664997655E-4</c:v>
                </c:pt>
                <c:pt idx="1">
                  <c:v>5.8952052267882997E-4</c:v>
                </c:pt>
                <c:pt idx="2">
                  <c:v>1.0065094051060475E-3</c:v>
                </c:pt>
                <c:pt idx="3">
                  <c:v>1.5835291494974649E-3</c:v>
                </c:pt>
                <c:pt idx="4">
                  <c:v>0</c:v>
                </c:pt>
                <c:pt idx="5">
                  <c:v>0</c:v>
                </c:pt>
              </c:numCache>
              <c:extLst/>
            </c:numRef>
          </c:val>
          <c:extLst>
            <c:ext xmlns:c16="http://schemas.microsoft.com/office/drawing/2014/chart" uri="{C3380CC4-5D6E-409C-BE32-E72D297353CC}">
              <c16:uniqueId val="{00000006-E96A-4979-9F4F-F9FDEB66B685}"/>
            </c:ext>
          </c:extLst>
        </c:ser>
        <c:ser>
          <c:idx val="7"/>
          <c:order val="7"/>
          <c:tx>
            <c:strRef>
              <c:f>'Relative incidence_decile6'!$S$74</c:f>
              <c:strCache>
                <c:ptCount val="1"/>
                <c:pt idx="0">
                  <c:v>Food transfers</c:v>
                </c:pt>
              </c:strCache>
            </c:strRef>
          </c:tx>
          <c:spPr>
            <a:solidFill>
              <a:schemeClr val="accent2">
                <a:lumMod val="60000"/>
                <a:lumOff val="40000"/>
              </a:schemeClr>
            </a:solidFill>
            <a:ln>
              <a:noFill/>
            </a:ln>
            <a:effectLst/>
          </c:spPr>
          <c:invertIfNegative val="0"/>
          <c:cat>
            <c:strRef>
              <c:f>('Relative incidence_decile6'!$K$75,'Relative incidence_decile6'!$K$79,'Relative incidence_decile6'!$K$81:$K$84)</c:f>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extLst/>
            </c:strRef>
          </c:cat>
          <c:val>
            <c:numRef>
              <c:f>('Relative incidence_decile6'!$S$75,'Relative incidence_decile6'!$S$79,'Relative incidence_decile6'!$S$81:$S$84)</c:f>
              <c:numCache>
                <c:formatCode>0.0%</c:formatCode>
                <c:ptCount val="6"/>
                <c:pt idx="0">
                  <c:v>7.3082999372633072E-4</c:v>
                </c:pt>
                <c:pt idx="1">
                  <c:v>3.4714364740198343E-4</c:v>
                </c:pt>
                <c:pt idx="2">
                  <c:v>1.2299243696838844E-4</c:v>
                </c:pt>
                <c:pt idx="3">
                  <c:v>5.8264455622360179E-4</c:v>
                </c:pt>
                <c:pt idx="4">
                  <c:v>0</c:v>
                </c:pt>
                <c:pt idx="5">
                  <c:v>1.1184513454627317E-4</c:v>
                </c:pt>
              </c:numCache>
              <c:extLst/>
            </c:numRef>
          </c:val>
          <c:extLst>
            <c:ext xmlns:c16="http://schemas.microsoft.com/office/drawing/2014/chart" uri="{C3380CC4-5D6E-409C-BE32-E72D297353CC}">
              <c16:uniqueId val="{00000007-E96A-4979-9F4F-F9FDEB66B685}"/>
            </c:ext>
          </c:extLst>
        </c:ser>
        <c:ser>
          <c:idx val="8"/>
          <c:order val="8"/>
          <c:tx>
            <c:strRef>
              <c:f>'Relative incidence_decile6'!$T$74</c:f>
              <c:strCache>
                <c:ptCount val="1"/>
                <c:pt idx="0">
                  <c:v>Old-age and disability pensions</c:v>
                </c:pt>
              </c:strCache>
            </c:strRef>
          </c:tx>
          <c:spPr>
            <a:solidFill>
              <a:schemeClr val="accent2">
                <a:lumMod val="75000"/>
              </a:schemeClr>
            </a:solidFill>
            <a:ln>
              <a:noFill/>
            </a:ln>
            <a:effectLst/>
          </c:spPr>
          <c:invertIfNegative val="0"/>
          <c:cat>
            <c:strRef>
              <c:f>('Relative incidence_decile6'!$K$75,'Relative incidence_decile6'!$K$79,'Relative incidence_decile6'!$K$81:$K$84)</c:f>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extLst/>
            </c:strRef>
          </c:cat>
          <c:val>
            <c:numRef>
              <c:f>('Relative incidence_decile6'!$T$75,'Relative incidence_decile6'!$T$79,'Relative incidence_decile6'!$T$81:$T$84)</c:f>
              <c:numCache>
                <c:formatCode>0.0%</c:formatCode>
                <c:ptCount val="6"/>
                <c:pt idx="0">
                  <c:v>2.8477842345380039E-3</c:v>
                </c:pt>
                <c:pt idx="1">
                  <c:v>2.3629095403138105E-3</c:v>
                </c:pt>
                <c:pt idx="2">
                  <c:v>4.5269868705368138E-4</c:v>
                </c:pt>
                <c:pt idx="3">
                  <c:v>0</c:v>
                </c:pt>
                <c:pt idx="4">
                  <c:v>0</c:v>
                </c:pt>
                <c:pt idx="5">
                  <c:v>5.2656246810645329E-3</c:v>
                </c:pt>
              </c:numCache>
              <c:extLst/>
            </c:numRef>
          </c:val>
          <c:extLst>
            <c:ext xmlns:c16="http://schemas.microsoft.com/office/drawing/2014/chart" uri="{C3380CC4-5D6E-409C-BE32-E72D297353CC}">
              <c16:uniqueId val="{00000008-E96A-4979-9F4F-F9FDEB66B685}"/>
            </c:ext>
          </c:extLst>
        </c:ser>
        <c:ser>
          <c:idx val="9"/>
          <c:order val="9"/>
          <c:tx>
            <c:strRef>
              <c:f>'Relative incidence_decile6'!$U$74</c:f>
              <c:strCache>
                <c:ptCount val="1"/>
                <c:pt idx="0">
                  <c:v>Other direct transfers</c:v>
                </c:pt>
              </c:strCache>
            </c:strRef>
          </c:tx>
          <c:spPr>
            <a:solidFill>
              <a:schemeClr val="accent2">
                <a:lumMod val="50000"/>
              </a:schemeClr>
            </a:solidFill>
            <a:ln>
              <a:noFill/>
            </a:ln>
            <a:effectLst/>
          </c:spPr>
          <c:invertIfNegative val="0"/>
          <c:cat>
            <c:strRef>
              <c:f>('Relative incidence_decile6'!$K$75,'Relative incidence_decile6'!$K$79,'Relative incidence_decile6'!$K$81:$K$84)</c:f>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extLst/>
            </c:strRef>
          </c:cat>
          <c:val>
            <c:numRef>
              <c:f>('Relative incidence_decile6'!$U$75,'Relative incidence_decile6'!$U$79,'Relative incidence_decile6'!$U$81:$U$84)</c:f>
              <c:numCache>
                <c:formatCode>0.0%</c:formatCode>
                <c:ptCount val="6"/>
                <c:pt idx="0">
                  <c:v>9.0883387292297144E-3</c:v>
                </c:pt>
                <c:pt idx="1">
                  <c:v>9.2754796556106731E-3</c:v>
                </c:pt>
                <c:pt idx="2">
                  <c:v>1.1528001432539906E-2</c:v>
                </c:pt>
                <c:pt idx="3">
                  <c:v>1.0146216690652354E-2</c:v>
                </c:pt>
                <c:pt idx="4">
                  <c:v>1.2708601113911229E-2</c:v>
                </c:pt>
                <c:pt idx="5">
                  <c:v>9.7168643543439469E-3</c:v>
                </c:pt>
              </c:numCache>
              <c:extLst/>
            </c:numRef>
          </c:val>
          <c:extLst>
            <c:ext xmlns:c16="http://schemas.microsoft.com/office/drawing/2014/chart" uri="{C3380CC4-5D6E-409C-BE32-E72D297353CC}">
              <c16:uniqueId val="{00000009-E96A-4979-9F4F-F9FDEB66B685}"/>
            </c:ext>
          </c:extLst>
        </c:ser>
        <c:dLbls>
          <c:showLegendKey val="0"/>
          <c:showVal val="0"/>
          <c:showCatName val="0"/>
          <c:showSerName val="0"/>
          <c:showPercent val="0"/>
          <c:showBubbleSize val="0"/>
        </c:dLbls>
        <c:gapWidth val="150"/>
        <c:overlap val="100"/>
        <c:axId val="176042463"/>
        <c:axId val="820854911"/>
      </c:barChart>
      <c:lineChart>
        <c:grouping val="standard"/>
        <c:varyColors val="0"/>
        <c:ser>
          <c:idx val="10"/>
          <c:order val="10"/>
          <c:tx>
            <c:strRef>
              <c:f>'Relative incidence_decile6'!$V$74</c:f>
              <c:strCache>
                <c:ptCount val="1"/>
                <c:pt idx="0">
                  <c:v>Net position</c:v>
                </c:pt>
              </c:strCache>
            </c:strRef>
          </c:tx>
          <c:spPr>
            <a:ln w="28575" cap="rnd">
              <a:noFill/>
              <a:round/>
            </a:ln>
            <a:effectLst/>
          </c:spPr>
          <c:marker>
            <c:symbol val="circle"/>
            <c:size val="5"/>
            <c:spPr>
              <a:solidFill>
                <a:schemeClr val="accent4"/>
              </a:solidFill>
              <a:ln w="9525">
                <a:solidFill>
                  <a:schemeClr val="accent4"/>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('Relative incidence_decile6'!$K$75,'Relative incidence_decile6'!$K$79,'Relative incidence_decile6'!$K$81:$K$84)</c:f>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extLst/>
            </c:strRef>
          </c:cat>
          <c:val>
            <c:numRef>
              <c:f>('Relative incidence_decile6'!$V$75,'Relative incidence_decile6'!$V$79,'Relative incidence_decile6'!$V$81:$V$84)</c:f>
              <c:numCache>
                <c:formatCode>0.0%</c:formatCode>
                <c:ptCount val="6"/>
                <c:pt idx="0">
                  <c:v>-2.5562539237343342E-2</c:v>
                </c:pt>
                <c:pt idx="1">
                  <c:v>-5.1789778393653424E-2</c:v>
                </c:pt>
                <c:pt idx="2">
                  <c:v>-8.1240469019020781E-2</c:v>
                </c:pt>
                <c:pt idx="3">
                  <c:v>-0.11789211287173845</c:v>
                </c:pt>
                <c:pt idx="4">
                  <c:v>-5.4606433200771257E-2</c:v>
                </c:pt>
                <c:pt idx="5">
                  <c:v>-6.2871437727303567E-2</c:v>
                </c:pt>
              </c:numCache>
              <c:extLst/>
            </c:numRef>
          </c:val>
          <c:smooth val="0"/>
          <c:extLst>
            <c:ext xmlns:c16="http://schemas.microsoft.com/office/drawing/2014/chart" uri="{C3380CC4-5D6E-409C-BE32-E72D297353CC}">
              <c16:uniqueId val="{0000000A-E96A-4979-9F4F-F9FDEB66B685}"/>
            </c:ext>
          </c:extLst>
        </c:ser>
        <c:dLbls>
          <c:showLegendKey val="0"/>
          <c:showVal val="0"/>
          <c:showCatName val="0"/>
          <c:showSerName val="0"/>
          <c:showPercent val="0"/>
          <c:showBubbleSize val="0"/>
        </c:dLbls>
        <c:marker val="1"/>
        <c:smooth val="0"/>
        <c:axId val="176042463"/>
        <c:axId val="820854911"/>
      </c:lineChart>
      <c:catAx>
        <c:axId val="176042463"/>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0854911"/>
        <c:crosses val="autoZero"/>
        <c:auto val="1"/>
        <c:lblAlgn val="ctr"/>
        <c:lblOffset val="100"/>
        <c:noMultiLvlLbl val="0"/>
      </c:catAx>
      <c:valAx>
        <c:axId val="82085491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6042463"/>
        <c:crosses val="autoZero"/>
        <c:crossBetween val="between"/>
      </c:valAx>
      <c:spPr>
        <a:noFill/>
        <a:ln>
          <a:noFill/>
        </a:ln>
        <a:effectLst/>
      </c:spPr>
    </c:plotArea>
    <c:legend>
      <c:legendPos val="b"/>
      <c:layout>
        <c:manualLayout>
          <c:xMode val="edge"/>
          <c:yMode val="edge"/>
          <c:x val="0.11772930693012178"/>
          <c:y val="1.3020284080034762E-2"/>
          <c:w val="0.86060354172124554"/>
          <c:h val="0.14633089171750435"/>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0524934383202106E-2"/>
          <c:y val="0.17171296296296296"/>
          <c:w val="0.86730797437085083"/>
          <c:h val="0.54713333511044093"/>
        </c:manualLayout>
      </c:layout>
      <c:barChart>
        <c:barDir val="col"/>
        <c:grouping val="clustered"/>
        <c:varyColors val="0"/>
        <c:ser>
          <c:idx val="0"/>
          <c:order val="0"/>
          <c:tx>
            <c:strRef>
              <c:f>Poverty!$M$5</c:f>
              <c:strCache>
                <c:ptCount val="1"/>
                <c:pt idx="0">
                  <c:v>Pre-fiscal poverty</c:v>
                </c:pt>
              </c:strCache>
            </c:strRef>
          </c:tx>
          <c:spPr>
            <a:solidFill>
              <a:schemeClr val="accent1">
                <a:lumMod val="75000"/>
              </a:schemeClr>
            </a:solidFill>
            <a:ln>
              <a:noFill/>
            </a:ln>
            <a:effectLst/>
          </c:spPr>
          <c:invertIfNegative val="0"/>
          <c:cat>
            <c:strRef>
              <c:f>(Poverty!$L$7,Poverty!$L$11,Poverty!$L$13:$L$16)</c:f>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extLst/>
            </c:strRef>
          </c:cat>
          <c:val>
            <c:numRef>
              <c:f>(Poverty!$M$7,Poverty!$M$11,Poverty!$M$13:$M$16)</c:f>
              <c:numCache>
                <c:formatCode>0%</c:formatCode>
                <c:ptCount val="6"/>
                <c:pt idx="0">
                  <c:v>3.089202818688842E-2</c:v>
                </c:pt>
                <c:pt idx="1">
                  <c:v>0.34816485756562948</c:v>
                </c:pt>
                <c:pt idx="2">
                  <c:v>8.7032917065882856E-2</c:v>
                </c:pt>
                <c:pt idx="3">
                  <c:v>0.30696320335990068</c:v>
                </c:pt>
                <c:pt idx="4">
                  <c:v>6.2962030192145304E-3</c:v>
                </c:pt>
                <c:pt idx="5">
                  <c:v>4.3009278303395952E-2</c:v>
                </c:pt>
              </c:numCache>
              <c:extLst/>
            </c:numRef>
          </c:val>
          <c:extLst>
            <c:ext xmlns:c16="http://schemas.microsoft.com/office/drawing/2014/chart" uri="{C3380CC4-5D6E-409C-BE32-E72D297353CC}">
              <c16:uniqueId val="{00000000-185F-436D-B5C7-4E4D19AD2B56}"/>
            </c:ext>
          </c:extLst>
        </c:ser>
        <c:ser>
          <c:idx val="1"/>
          <c:order val="1"/>
          <c:tx>
            <c:strRef>
              <c:f>Poverty!$N$5</c:f>
              <c:strCache>
                <c:ptCount val="1"/>
                <c:pt idx="0">
                  <c:v>Post-fiscal poverty</c:v>
                </c:pt>
              </c:strCache>
            </c:strRef>
          </c:tx>
          <c:spPr>
            <a:pattFill prst="dkUpDiag">
              <a:fgClr>
                <a:schemeClr val="accent1">
                  <a:lumMod val="75000"/>
                </a:schemeClr>
              </a:fgClr>
              <a:bgClr>
                <a:schemeClr val="bg1"/>
              </a:bgClr>
            </a:pattFill>
            <a:ln>
              <a:solidFill>
                <a:schemeClr val="accent1">
                  <a:lumMod val="75000"/>
                </a:schemeClr>
              </a:solidFill>
            </a:ln>
            <a:effectLst/>
          </c:spPr>
          <c:invertIfNegative val="0"/>
          <c:cat>
            <c:strRef>
              <c:f>(Poverty!$L$7,Poverty!$L$11,Poverty!$L$13:$L$16)</c:f>
              <c:strCache>
                <c:ptCount val="6"/>
                <c:pt idx="0">
                  <c:v>Single-person female</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extLst/>
            </c:strRef>
          </c:cat>
          <c:val>
            <c:numRef>
              <c:f>(Poverty!$N$7,Poverty!$N$11,Poverty!$N$13:$N$16)</c:f>
              <c:numCache>
                <c:formatCode>0%</c:formatCode>
                <c:ptCount val="6"/>
                <c:pt idx="0">
                  <c:v>1.9737501252379521E-2</c:v>
                </c:pt>
                <c:pt idx="1">
                  <c:v>0.31781886914801522</c:v>
                </c:pt>
                <c:pt idx="2">
                  <c:v>7.7764605899197231E-2</c:v>
                </c:pt>
                <c:pt idx="3">
                  <c:v>0.28076409106094591</c:v>
                </c:pt>
                <c:pt idx="4">
                  <c:v>5.0221478200322958E-3</c:v>
                </c:pt>
                <c:pt idx="5">
                  <c:v>3.7296037296037303E-2</c:v>
                </c:pt>
              </c:numCache>
              <c:extLst/>
            </c:numRef>
          </c:val>
          <c:extLst>
            <c:ext xmlns:c16="http://schemas.microsoft.com/office/drawing/2014/chart" uri="{C3380CC4-5D6E-409C-BE32-E72D297353CC}">
              <c16:uniqueId val="{00000001-185F-436D-B5C7-4E4D19AD2B56}"/>
            </c:ext>
          </c:extLst>
        </c:ser>
        <c:dLbls>
          <c:showLegendKey val="0"/>
          <c:showVal val="0"/>
          <c:showCatName val="0"/>
          <c:showSerName val="0"/>
          <c:showPercent val="0"/>
          <c:showBubbleSize val="0"/>
        </c:dLbls>
        <c:gapWidth val="219"/>
        <c:axId val="574833344"/>
        <c:axId val="574840832"/>
      </c:barChart>
      <c:lineChart>
        <c:grouping val="standard"/>
        <c:varyColors val="0"/>
        <c:ser>
          <c:idx val="2"/>
          <c:order val="2"/>
          <c:tx>
            <c:strRef>
              <c:f>Poverty!$O$5</c:f>
              <c:strCache>
                <c:ptCount val="1"/>
                <c:pt idx="0">
                  <c:v>Reduction in poverty</c:v>
                </c:pt>
              </c:strCache>
            </c:strRef>
          </c:tx>
          <c:spPr>
            <a:ln w="28575" cap="rnd">
              <a:noFill/>
              <a:round/>
            </a:ln>
            <a:effectLst/>
          </c:spPr>
          <c:marker>
            <c:symbol val="diamond"/>
            <c:size val="5"/>
            <c:spPr>
              <a:solidFill>
                <a:schemeClr val="accent2"/>
              </a:solidFill>
              <a:ln w="9525">
                <a:solidFill>
                  <a:schemeClr val="accent2"/>
                </a:solidFill>
                <a:round/>
              </a:ln>
              <a:effectLst/>
            </c:spPr>
          </c:marker>
          <c:cat>
            <c:strRef>
              <c:f>(Poverty!$K$7,Poverty!$K$11,Poverty!$K$13:$K$16)</c:f>
              <c:strCache>
                <c:ptCount val="6"/>
                <c:pt idx="0">
                  <c:v>Single-person female, under 60</c:v>
                </c:pt>
                <c:pt idx="1">
                  <c:v>Single woman with individuals under 25</c:v>
                </c:pt>
                <c:pt idx="2">
                  <c:v>Couple with individuals under 25 - Both work</c:v>
                </c:pt>
                <c:pt idx="3">
                  <c:v>Couple with individuals under 25 - Only man works</c:v>
                </c:pt>
                <c:pt idx="4">
                  <c:v>Couple without individuals under 25 - Both work</c:v>
                </c:pt>
                <c:pt idx="5">
                  <c:v>Couple without individuals under 25 - Only man works</c:v>
                </c:pt>
              </c:strCache>
              <c:extLst/>
            </c:strRef>
          </c:cat>
          <c:val>
            <c:numRef>
              <c:f>(Poverty!$O$7,Poverty!$O$11,Poverty!$O$13:$O$16)</c:f>
              <c:numCache>
                <c:formatCode>0.0</c:formatCode>
                <c:ptCount val="6"/>
                <c:pt idx="0">
                  <c:v>1.1154526934508899</c:v>
                </c:pt>
                <c:pt idx="1">
                  <c:v>3.0345988417614267</c:v>
                </c:pt>
                <c:pt idx="2">
                  <c:v>0.92683111666856255</c:v>
                </c:pt>
                <c:pt idx="3">
                  <c:v>2.6199112298954774</c:v>
                </c:pt>
                <c:pt idx="4">
                  <c:v>0.12740551991822346</c:v>
                </c:pt>
                <c:pt idx="5">
                  <c:v>0.57132410073586493</c:v>
                </c:pt>
              </c:numCache>
              <c:extLst/>
            </c:numRef>
          </c:val>
          <c:smooth val="0"/>
          <c:extLst>
            <c:ext xmlns:c16="http://schemas.microsoft.com/office/drawing/2014/chart" uri="{C3380CC4-5D6E-409C-BE32-E72D297353CC}">
              <c16:uniqueId val="{00000002-185F-436D-B5C7-4E4D19AD2B56}"/>
            </c:ext>
          </c:extLst>
        </c:ser>
        <c:dLbls>
          <c:showLegendKey val="0"/>
          <c:showVal val="0"/>
          <c:showCatName val="0"/>
          <c:showSerName val="0"/>
          <c:showPercent val="0"/>
          <c:showBubbleSize val="0"/>
        </c:dLbls>
        <c:marker val="1"/>
        <c:smooth val="0"/>
        <c:axId val="722473072"/>
        <c:axId val="722480144"/>
      </c:lineChart>
      <c:catAx>
        <c:axId val="5748333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74840832"/>
        <c:crosses val="autoZero"/>
        <c:auto val="1"/>
        <c:lblAlgn val="ctr"/>
        <c:lblOffset val="100"/>
        <c:noMultiLvlLbl val="0"/>
      </c:catAx>
      <c:valAx>
        <c:axId val="5748408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Poverty headcount rate</a:t>
                </a:r>
              </a:p>
            </c:rich>
          </c:tx>
          <c:layout>
            <c:manualLayout>
              <c:xMode val="edge"/>
              <c:yMode val="edge"/>
              <c:x val="4.9019607843137254E-3"/>
              <c:y val="3.9847623213764977E-3"/>
            </c:manualLayout>
          </c:layout>
          <c:overlay val="0"/>
          <c:spPr>
            <a:noFill/>
            <a:ln>
              <a:noFill/>
            </a:ln>
            <a:effectLst/>
          </c:spPr>
          <c:txPr>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74833344"/>
        <c:crosses val="autoZero"/>
        <c:crossBetween val="between"/>
        <c:majorUnit val="0.1"/>
      </c:valAx>
      <c:valAx>
        <c:axId val="722480144"/>
        <c:scaling>
          <c:orientation val="minMax"/>
        </c:scaling>
        <c:delete val="0"/>
        <c:axPos val="r"/>
        <c:title>
          <c:tx>
            <c:rich>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Poverty reduction</a:t>
                </a:r>
                <a:br>
                  <a:rPr lang="en-US"/>
                </a:br>
                <a:r>
                  <a:rPr lang="en-US"/>
                  <a:t>(in p.p.)</a:t>
                </a:r>
              </a:p>
            </c:rich>
          </c:tx>
          <c:layout>
            <c:manualLayout>
              <c:xMode val="edge"/>
              <c:yMode val="edge"/>
              <c:x val="0.82984327378800082"/>
              <c:y val="3.2151271738638153E-2"/>
            </c:manualLayout>
          </c:layout>
          <c:overlay val="0"/>
          <c:spPr>
            <a:noFill/>
            <a:ln>
              <a:noFill/>
            </a:ln>
            <a:effectLst/>
          </c:spPr>
          <c:txPr>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22473072"/>
        <c:crosses val="max"/>
        <c:crossBetween val="between"/>
      </c:valAx>
      <c:catAx>
        <c:axId val="722473072"/>
        <c:scaling>
          <c:orientation val="minMax"/>
        </c:scaling>
        <c:delete val="1"/>
        <c:axPos val="b"/>
        <c:numFmt formatCode="General" sourceLinked="1"/>
        <c:majorTickMark val="out"/>
        <c:minorTickMark val="none"/>
        <c:tickLblPos val="nextTo"/>
        <c:crossAx val="722480144"/>
        <c:crosses val="autoZero"/>
        <c:auto val="1"/>
        <c:lblAlgn val="ctr"/>
        <c:lblOffset val="100"/>
        <c:noMultiLvlLbl val="0"/>
      </c:catAx>
      <c:spPr>
        <a:noFill/>
        <a:ln>
          <a:noFill/>
        </a:ln>
        <a:effectLst/>
      </c:spPr>
    </c:plotArea>
    <c:legend>
      <c:legendPos val="b"/>
      <c:layout>
        <c:manualLayout>
          <c:xMode val="edge"/>
          <c:yMode val="edge"/>
          <c:x val="0.17112239259566236"/>
          <c:y val="0.93198945921347753"/>
          <c:w val="0.64021135515955252"/>
          <c:h val="6.8010540786522425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percentStacked"/>
        <c:varyColors val="0"/>
        <c:ser>
          <c:idx val="0"/>
          <c:order val="0"/>
          <c:tx>
            <c:strRef>
              <c:f>'Distribution HH Decile'!$A$3</c:f>
              <c:strCache>
                <c:ptCount val="1"/>
                <c:pt idx="0">
                  <c:v>No earners</c:v>
                </c:pt>
              </c:strCache>
            </c:strRef>
          </c:tx>
          <c:spPr>
            <a:solidFill>
              <a:srgbClr val="4472C4"/>
            </a:solidFill>
            <a:ln w="25400">
              <a:noFill/>
            </a:ln>
          </c:spPr>
          <c:invertIfNegative val="0"/>
          <c:val>
            <c:numRef>
              <c:f>'Distribution HH Decile'!$B$3:$K$3</c:f>
              <c:numCache>
                <c:formatCode>General</c:formatCode>
                <c:ptCount val="10"/>
                <c:pt idx="0">
                  <c:v>16380</c:v>
                </c:pt>
                <c:pt idx="1">
                  <c:v>11932</c:v>
                </c:pt>
                <c:pt idx="2">
                  <c:v>13173</c:v>
                </c:pt>
                <c:pt idx="3">
                  <c:v>21179</c:v>
                </c:pt>
                <c:pt idx="4">
                  <c:v>25520</c:v>
                </c:pt>
                <c:pt idx="5">
                  <c:v>29301</c:v>
                </c:pt>
                <c:pt idx="6">
                  <c:v>32816</c:v>
                </c:pt>
                <c:pt idx="7">
                  <c:v>31657</c:v>
                </c:pt>
                <c:pt idx="8">
                  <c:v>33567</c:v>
                </c:pt>
                <c:pt idx="9">
                  <c:v>36996</c:v>
                </c:pt>
              </c:numCache>
            </c:numRef>
          </c:val>
          <c:extLst>
            <c:ext xmlns:c16="http://schemas.microsoft.com/office/drawing/2014/chart" uri="{C3380CC4-5D6E-409C-BE32-E72D297353CC}">
              <c16:uniqueId val="{00000000-7191-40EA-B7C1-705DF73E7201}"/>
            </c:ext>
          </c:extLst>
        </c:ser>
        <c:ser>
          <c:idx val="1"/>
          <c:order val="1"/>
          <c:tx>
            <c:strRef>
              <c:f>'Distribution HH Decile'!$A$4</c:f>
              <c:strCache>
                <c:ptCount val="1"/>
                <c:pt idx="0">
                  <c:v>Only female earners</c:v>
                </c:pt>
              </c:strCache>
            </c:strRef>
          </c:tx>
          <c:spPr>
            <a:solidFill>
              <a:srgbClr val="ED7D31"/>
            </a:solidFill>
            <a:ln w="25400">
              <a:noFill/>
            </a:ln>
          </c:spPr>
          <c:invertIfNegative val="0"/>
          <c:val>
            <c:numRef>
              <c:f>'Distribution HH Decile'!$B$4:$K$4</c:f>
              <c:numCache>
                <c:formatCode>General</c:formatCode>
                <c:ptCount val="10"/>
                <c:pt idx="0">
                  <c:v>16696</c:v>
                </c:pt>
                <c:pt idx="1">
                  <c:v>17055</c:v>
                </c:pt>
                <c:pt idx="2">
                  <c:v>17921</c:v>
                </c:pt>
                <c:pt idx="3">
                  <c:v>18419</c:v>
                </c:pt>
                <c:pt idx="4">
                  <c:v>17127</c:v>
                </c:pt>
                <c:pt idx="5">
                  <c:v>18694</c:v>
                </c:pt>
                <c:pt idx="6">
                  <c:v>20067</c:v>
                </c:pt>
                <c:pt idx="7">
                  <c:v>22146</c:v>
                </c:pt>
                <c:pt idx="8">
                  <c:v>23738</c:v>
                </c:pt>
                <c:pt idx="9">
                  <c:v>24433</c:v>
                </c:pt>
              </c:numCache>
            </c:numRef>
          </c:val>
          <c:extLst>
            <c:ext xmlns:c16="http://schemas.microsoft.com/office/drawing/2014/chart" uri="{C3380CC4-5D6E-409C-BE32-E72D297353CC}">
              <c16:uniqueId val="{00000001-7191-40EA-B7C1-705DF73E7201}"/>
            </c:ext>
          </c:extLst>
        </c:ser>
        <c:ser>
          <c:idx val="2"/>
          <c:order val="2"/>
          <c:tx>
            <c:strRef>
              <c:f>'Distribution HH Decile'!$A$5</c:f>
              <c:strCache>
                <c:ptCount val="1"/>
                <c:pt idx="0">
                  <c:v>Dual - female dominated</c:v>
                </c:pt>
              </c:strCache>
            </c:strRef>
          </c:tx>
          <c:spPr>
            <a:solidFill>
              <a:srgbClr val="A5A5A5"/>
            </a:solidFill>
            <a:ln w="25400">
              <a:noFill/>
            </a:ln>
          </c:spPr>
          <c:invertIfNegative val="0"/>
          <c:val>
            <c:numRef>
              <c:f>'Distribution HH Decile'!$B$5:$K$5</c:f>
              <c:numCache>
                <c:formatCode>General</c:formatCode>
                <c:ptCount val="10"/>
                <c:pt idx="0">
                  <c:v>4356</c:v>
                </c:pt>
                <c:pt idx="1">
                  <c:v>5682</c:v>
                </c:pt>
                <c:pt idx="2">
                  <c:v>7844</c:v>
                </c:pt>
                <c:pt idx="3">
                  <c:v>9027</c:v>
                </c:pt>
                <c:pt idx="4">
                  <c:v>10623</c:v>
                </c:pt>
                <c:pt idx="5">
                  <c:v>11563</c:v>
                </c:pt>
                <c:pt idx="6">
                  <c:v>12698</c:v>
                </c:pt>
                <c:pt idx="7">
                  <c:v>14336</c:v>
                </c:pt>
                <c:pt idx="8">
                  <c:v>18312</c:v>
                </c:pt>
                <c:pt idx="9">
                  <c:v>18873</c:v>
                </c:pt>
              </c:numCache>
            </c:numRef>
          </c:val>
          <c:extLst>
            <c:ext xmlns:c16="http://schemas.microsoft.com/office/drawing/2014/chart" uri="{C3380CC4-5D6E-409C-BE32-E72D297353CC}">
              <c16:uniqueId val="{00000002-7191-40EA-B7C1-705DF73E7201}"/>
            </c:ext>
          </c:extLst>
        </c:ser>
        <c:ser>
          <c:idx val="3"/>
          <c:order val="3"/>
          <c:tx>
            <c:strRef>
              <c:f>'Distribution HH Decile'!$A$6</c:f>
              <c:strCache>
                <c:ptCount val="1"/>
                <c:pt idx="0">
                  <c:v>Only male earners</c:v>
                </c:pt>
              </c:strCache>
            </c:strRef>
          </c:tx>
          <c:spPr>
            <a:solidFill>
              <a:srgbClr val="FFC000"/>
            </a:solidFill>
            <a:ln w="25400">
              <a:noFill/>
            </a:ln>
          </c:spPr>
          <c:invertIfNegative val="0"/>
          <c:val>
            <c:numRef>
              <c:f>'Distribution HH Decile'!$B$6:$K$6</c:f>
              <c:numCache>
                <c:formatCode>General</c:formatCode>
                <c:ptCount val="10"/>
                <c:pt idx="0">
                  <c:v>28260</c:v>
                </c:pt>
                <c:pt idx="1">
                  <c:v>32946</c:v>
                </c:pt>
                <c:pt idx="2">
                  <c:v>32686</c:v>
                </c:pt>
                <c:pt idx="3">
                  <c:v>31549</c:v>
                </c:pt>
                <c:pt idx="4">
                  <c:v>30030</c:v>
                </c:pt>
                <c:pt idx="5">
                  <c:v>28527</c:v>
                </c:pt>
                <c:pt idx="6">
                  <c:v>31970</c:v>
                </c:pt>
                <c:pt idx="7">
                  <c:v>34819</c:v>
                </c:pt>
                <c:pt idx="8">
                  <c:v>36000</c:v>
                </c:pt>
                <c:pt idx="9">
                  <c:v>40970</c:v>
                </c:pt>
              </c:numCache>
            </c:numRef>
          </c:val>
          <c:extLst>
            <c:ext xmlns:c16="http://schemas.microsoft.com/office/drawing/2014/chart" uri="{C3380CC4-5D6E-409C-BE32-E72D297353CC}">
              <c16:uniqueId val="{00000003-7191-40EA-B7C1-705DF73E7201}"/>
            </c:ext>
          </c:extLst>
        </c:ser>
        <c:ser>
          <c:idx val="4"/>
          <c:order val="4"/>
          <c:tx>
            <c:strRef>
              <c:f>'Distribution HH Decile'!$A$7</c:f>
              <c:strCache>
                <c:ptCount val="1"/>
                <c:pt idx="0">
                  <c:v>Dual - male dominated</c:v>
                </c:pt>
              </c:strCache>
            </c:strRef>
          </c:tx>
          <c:spPr>
            <a:solidFill>
              <a:srgbClr val="5B9BD5"/>
            </a:solidFill>
            <a:ln w="25400">
              <a:noFill/>
            </a:ln>
          </c:spPr>
          <c:invertIfNegative val="0"/>
          <c:val>
            <c:numRef>
              <c:f>'Distribution HH Decile'!$B$7:$K$7</c:f>
              <c:numCache>
                <c:formatCode>General</c:formatCode>
                <c:ptCount val="10"/>
                <c:pt idx="0">
                  <c:v>9416</c:v>
                </c:pt>
                <c:pt idx="1">
                  <c:v>18061</c:v>
                </c:pt>
                <c:pt idx="2">
                  <c:v>21054</c:v>
                </c:pt>
                <c:pt idx="3">
                  <c:v>22471</c:v>
                </c:pt>
                <c:pt idx="4">
                  <c:v>25975</c:v>
                </c:pt>
                <c:pt idx="5">
                  <c:v>28811</c:v>
                </c:pt>
                <c:pt idx="6">
                  <c:v>29487</c:v>
                </c:pt>
                <c:pt idx="7">
                  <c:v>31386</c:v>
                </c:pt>
                <c:pt idx="8">
                  <c:v>31890</c:v>
                </c:pt>
                <c:pt idx="9">
                  <c:v>32615</c:v>
                </c:pt>
              </c:numCache>
            </c:numRef>
          </c:val>
          <c:extLst>
            <c:ext xmlns:c16="http://schemas.microsoft.com/office/drawing/2014/chart" uri="{C3380CC4-5D6E-409C-BE32-E72D297353CC}">
              <c16:uniqueId val="{00000004-7191-40EA-B7C1-705DF73E7201}"/>
            </c:ext>
          </c:extLst>
        </c:ser>
        <c:ser>
          <c:idx val="5"/>
          <c:order val="5"/>
          <c:tx>
            <c:strRef>
              <c:f>'Distribution HH Decile'!$A$8</c:f>
              <c:strCache>
                <c:ptCount val="1"/>
                <c:pt idx="0">
                  <c:v>Dual - equal earners</c:v>
                </c:pt>
              </c:strCache>
            </c:strRef>
          </c:tx>
          <c:spPr>
            <a:solidFill>
              <a:srgbClr val="70AD47"/>
            </a:solidFill>
            <a:ln w="25400">
              <a:noFill/>
            </a:ln>
          </c:spPr>
          <c:invertIfNegative val="0"/>
          <c:val>
            <c:numRef>
              <c:f>'Distribution HH Decile'!$B$8:$K$8</c:f>
              <c:numCache>
                <c:formatCode>General</c:formatCode>
                <c:ptCount val="10"/>
                <c:pt idx="0">
                  <c:v>2155</c:v>
                </c:pt>
                <c:pt idx="1">
                  <c:v>3397</c:v>
                </c:pt>
                <c:pt idx="2">
                  <c:v>5099</c:v>
                </c:pt>
                <c:pt idx="3">
                  <c:v>7248</c:v>
                </c:pt>
                <c:pt idx="4">
                  <c:v>8763</c:v>
                </c:pt>
                <c:pt idx="5">
                  <c:v>10139</c:v>
                </c:pt>
                <c:pt idx="6">
                  <c:v>11101</c:v>
                </c:pt>
                <c:pt idx="7">
                  <c:v>12071</c:v>
                </c:pt>
                <c:pt idx="8">
                  <c:v>10365</c:v>
                </c:pt>
                <c:pt idx="9">
                  <c:v>10048</c:v>
                </c:pt>
              </c:numCache>
            </c:numRef>
          </c:val>
          <c:extLst>
            <c:ext xmlns:c16="http://schemas.microsoft.com/office/drawing/2014/chart" uri="{C3380CC4-5D6E-409C-BE32-E72D297353CC}">
              <c16:uniqueId val="{00000005-7191-40EA-B7C1-705DF73E7201}"/>
            </c:ext>
          </c:extLst>
        </c:ser>
        <c:dLbls>
          <c:showLegendKey val="0"/>
          <c:showVal val="0"/>
          <c:showCatName val="0"/>
          <c:showSerName val="0"/>
          <c:showPercent val="0"/>
          <c:showBubbleSize val="0"/>
        </c:dLbls>
        <c:gapWidth val="150"/>
        <c:overlap val="100"/>
        <c:axId val="1956121343"/>
        <c:axId val="1"/>
      </c:barChart>
      <c:catAx>
        <c:axId val="195612134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
        <c:crosses val="autoZero"/>
        <c:auto val="1"/>
        <c:lblAlgn val="ctr"/>
        <c:lblOffset val="100"/>
        <c:noMultiLvlLbl val="0"/>
      </c:catAx>
      <c:valAx>
        <c:axId val="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ln w="6350">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56121343"/>
        <c:crosses val="autoZero"/>
        <c:crossBetween val="between"/>
      </c:valAx>
      <c:spPr>
        <a:noFill/>
        <a:ln w="25400">
          <a:noFill/>
        </a:ln>
      </c:spPr>
    </c:plotArea>
    <c:legend>
      <c:legendPos val="b"/>
      <c:overlay val="0"/>
      <c:spPr>
        <a:noFill/>
        <a:ln w="25400">
          <a:noFill/>
        </a:ln>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percentStacked"/>
        <c:varyColors val="0"/>
        <c:ser>
          <c:idx val="0"/>
          <c:order val="0"/>
          <c:tx>
            <c:strRef>
              <c:f>'Distribution HH Decile'!$A$34</c:f>
              <c:strCache>
                <c:ptCount val="1"/>
                <c:pt idx="0">
                  <c:v>Single-person female</c:v>
                </c:pt>
              </c:strCache>
            </c:strRef>
          </c:tx>
          <c:invertIfNegative val="0"/>
          <c:val>
            <c:numRef>
              <c:f>'Distribution HH Decile'!$B$34:$K$34</c:f>
              <c:numCache>
                <c:formatCode>0</c:formatCode>
                <c:ptCount val="10"/>
                <c:pt idx="0">
                  <c:v>1644</c:v>
                </c:pt>
                <c:pt idx="1">
                  <c:v>1488</c:v>
                </c:pt>
                <c:pt idx="2">
                  <c:v>2300</c:v>
                </c:pt>
                <c:pt idx="3">
                  <c:v>4335</c:v>
                </c:pt>
                <c:pt idx="4">
                  <c:v>7880</c:v>
                </c:pt>
                <c:pt idx="5">
                  <c:v>12223</c:v>
                </c:pt>
                <c:pt idx="6">
                  <c:v>16836</c:v>
                </c:pt>
                <c:pt idx="7">
                  <c:v>20968</c:v>
                </c:pt>
                <c:pt idx="8">
                  <c:v>25374</c:v>
                </c:pt>
                <c:pt idx="9">
                  <c:v>31509</c:v>
                </c:pt>
              </c:numCache>
            </c:numRef>
          </c:val>
          <c:extLst>
            <c:ext xmlns:c16="http://schemas.microsoft.com/office/drawing/2014/chart" uri="{C3380CC4-5D6E-409C-BE32-E72D297353CC}">
              <c16:uniqueId val="{00000000-444D-43C9-906B-EFDBC8FF20EB}"/>
            </c:ext>
          </c:extLst>
        </c:ser>
        <c:ser>
          <c:idx val="1"/>
          <c:order val="1"/>
          <c:tx>
            <c:strRef>
              <c:f>'Distribution HH Decile'!$A$35</c:f>
              <c:strCache>
                <c:ptCount val="1"/>
                <c:pt idx="0">
                  <c:v>Single-person male</c:v>
                </c:pt>
              </c:strCache>
            </c:strRef>
          </c:tx>
          <c:invertIfNegative val="0"/>
          <c:val>
            <c:numRef>
              <c:f>'Distribution HH Decile'!$B$35:$K$35</c:f>
              <c:numCache>
                <c:formatCode>0</c:formatCode>
                <c:ptCount val="10"/>
                <c:pt idx="0">
                  <c:v>2082</c:v>
                </c:pt>
                <c:pt idx="1">
                  <c:v>2014</c:v>
                </c:pt>
                <c:pt idx="2">
                  <c:v>3338</c:v>
                </c:pt>
                <c:pt idx="3">
                  <c:v>5665</c:v>
                </c:pt>
                <c:pt idx="4">
                  <c:v>7088</c:v>
                </c:pt>
                <c:pt idx="5">
                  <c:v>9382</c:v>
                </c:pt>
                <c:pt idx="6">
                  <c:v>12339</c:v>
                </c:pt>
                <c:pt idx="7">
                  <c:v>16301</c:v>
                </c:pt>
                <c:pt idx="8">
                  <c:v>21428</c:v>
                </c:pt>
                <c:pt idx="9">
                  <c:v>28446</c:v>
                </c:pt>
              </c:numCache>
            </c:numRef>
          </c:val>
          <c:extLst>
            <c:ext xmlns:c16="http://schemas.microsoft.com/office/drawing/2014/chart" uri="{C3380CC4-5D6E-409C-BE32-E72D297353CC}">
              <c16:uniqueId val="{00000001-444D-43C9-906B-EFDBC8FF20EB}"/>
            </c:ext>
          </c:extLst>
        </c:ser>
        <c:ser>
          <c:idx val="2"/>
          <c:order val="2"/>
          <c:tx>
            <c:strRef>
              <c:f>'Distribution HH Decile'!$A$36</c:f>
              <c:strCache>
                <c:ptCount val="1"/>
                <c:pt idx="0">
                  <c:v>Couple without individuals under 25</c:v>
                </c:pt>
              </c:strCache>
            </c:strRef>
          </c:tx>
          <c:invertIfNegative val="0"/>
          <c:val>
            <c:numRef>
              <c:f>'Distribution HH Decile'!$B$36:$K$36</c:f>
              <c:numCache>
                <c:formatCode>0</c:formatCode>
                <c:ptCount val="10"/>
                <c:pt idx="0">
                  <c:v>2830</c:v>
                </c:pt>
                <c:pt idx="1">
                  <c:v>5786</c:v>
                </c:pt>
                <c:pt idx="2">
                  <c:v>10187</c:v>
                </c:pt>
                <c:pt idx="3">
                  <c:v>16846</c:v>
                </c:pt>
                <c:pt idx="4">
                  <c:v>21832</c:v>
                </c:pt>
                <c:pt idx="5">
                  <c:v>24933</c:v>
                </c:pt>
                <c:pt idx="6">
                  <c:v>30091</c:v>
                </c:pt>
                <c:pt idx="7">
                  <c:v>33082</c:v>
                </c:pt>
                <c:pt idx="8">
                  <c:v>36252</c:v>
                </c:pt>
                <c:pt idx="9">
                  <c:v>43255</c:v>
                </c:pt>
              </c:numCache>
            </c:numRef>
          </c:val>
          <c:extLst>
            <c:ext xmlns:c16="http://schemas.microsoft.com/office/drawing/2014/chart" uri="{C3380CC4-5D6E-409C-BE32-E72D297353CC}">
              <c16:uniqueId val="{00000002-444D-43C9-906B-EFDBC8FF20EB}"/>
            </c:ext>
          </c:extLst>
        </c:ser>
        <c:ser>
          <c:idx val="3"/>
          <c:order val="3"/>
          <c:tx>
            <c:strRef>
              <c:f>'Distribution HH Decile'!$A$37</c:f>
              <c:strCache>
                <c:ptCount val="1"/>
                <c:pt idx="0">
                  <c:v>Couple with individuals under 25</c:v>
                </c:pt>
              </c:strCache>
            </c:strRef>
          </c:tx>
          <c:invertIfNegative val="0"/>
          <c:val>
            <c:numRef>
              <c:f>'Distribution HH Decile'!$B$37:$K$37</c:f>
              <c:numCache>
                <c:formatCode>0</c:formatCode>
                <c:ptCount val="10"/>
                <c:pt idx="0">
                  <c:v>37006</c:v>
                </c:pt>
                <c:pt idx="1">
                  <c:v>44321</c:v>
                </c:pt>
                <c:pt idx="2">
                  <c:v>43744</c:v>
                </c:pt>
                <c:pt idx="3">
                  <c:v>42427</c:v>
                </c:pt>
                <c:pt idx="4">
                  <c:v>42285</c:v>
                </c:pt>
                <c:pt idx="5">
                  <c:v>39668</c:v>
                </c:pt>
                <c:pt idx="6">
                  <c:v>36480</c:v>
                </c:pt>
                <c:pt idx="7">
                  <c:v>34664</c:v>
                </c:pt>
                <c:pt idx="8">
                  <c:v>33072</c:v>
                </c:pt>
                <c:pt idx="9">
                  <c:v>31925</c:v>
                </c:pt>
              </c:numCache>
            </c:numRef>
          </c:val>
          <c:extLst>
            <c:ext xmlns:c16="http://schemas.microsoft.com/office/drawing/2014/chart" uri="{C3380CC4-5D6E-409C-BE32-E72D297353CC}">
              <c16:uniqueId val="{00000003-444D-43C9-906B-EFDBC8FF20EB}"/>
            </c:ext>
          </c:extLst>
        </c:ser>
        <c:ser>
          <c:idx val="4"/>
          <c:order val="4"/>
          <c:tx>
            <c:strRef>
              <c:f>'Distribution HH Decile'!$A$38</c:f>
              <c:strCache>
                <c:ptCount val="1"/>
                <c:pt idx="0">
                  <c:v>Single-woman with individuals under 25</c:v>
                </c:pt>
              </c:strCache>
            </c:strRef>
          </c:tx>
          <c:invertIfNegative val="0"/>
          <c:val>
            <c:numRef>
              <c:f>'Distribution HH Decile'!$B$38:$K$38</c:f>
              <c:numCache>
                <c:formatCode>0</c:formatCode>
                <c:ptCount val="10"/>
                <c:pt idx="0">
                  <c:v>18369</c:v>
                </c:pt>
                <c:pt idx="1">
                  <c:v>15194</c:v>
                </c:pt>
                <c:pt idx="2">
                  <c:v>13324</c:v>
                </c:pt>
                <c:pt idx="3">
                  <c:v>12195</c:v>
                </c:pt>
                <c:pt idx="4">
                  <c:v>8849</c:v>
                </c:pt>
                <c:pt idx="5">
                  <c:v>8566</c:v>
                </c:pt>
                <c:pt idx="6">
                  <c:v>8679</c:v>
                </c:pt>
                <c:pt idx="7">
                  <c:v>8313</c:v>
                </c:pt>
                <c:pt idx="8">
                  <c:v>7395</c:v>
                </c:pt>
                <c:pt idx="9">
                  <c:v>5242</c:v>
                </c:pt>
              </c:numCache>
            </c:numRef>
          </c:val>
          <c:extLst>
            <c:ext xmlns:c16="http://schemas.microsoft.com/office/drawing/2014/chart" uri="{C3380CC4-5D6E-409C-BE32-E72D297353CC}">
              <c16:uniqueId val="{00000004-444D-43C9-906B-EFDBC8FF20EB}"/>
            </c:ext>
          </c:extLst>
        </c:ser>
        <c:ser>
          <c:idx val="5"/>
          <c:order val="5"/>
          <c:tx>
            <c:strRef>
              <c:f>'Distribution HH Decile'!$A$39</c:f>
              <c:strCache>
                <c:ptCount val="1"/>
                <c:pt idx="0">
                  <c:v>Single-man with individuals under 25</c:v>
                </c:pt>
              </c:strCache>
            </c:strRef>
          </c:tx>
          <c:invertIfNegative val="0"/>
          <c:val>
            <c:numRef>
              <c:f>'Distribution HH Decile'!$B$39:$K$39</c:f>
              <c:numCache>
                <c:formatCode>0</c:formatCode>
                <c:ptCount val="10"/>
                <c:pt idx="0">
                  <c:v>967</c:v>
                </c:pt>
                <c:pt idx="1">
                  <c:v>1725</c:v>
                </c:pt>
                <c:pt idx="2">
                  <c:v>2195</c:v>
                </c:pt>
                <c:pt idx="3">
                  <c:v>2059</c:v>
                </c:pt>
                <c:pt idx="4">
                  <c:v>2144</c:v>
                </c:pt>
                <c:pt idx="5">
                  <c:v>2153</c:v>
                </c:pt>
                <c:pt idx="6">
                  <c:v>2552</c:v>
                </c:pt>
                <c:pt idx="7">
                  <c:v>2465</c:v>
                </c:pt>
                <c:pt idx="8">
                  <c:v>1432</c:v>
                </c:pt>
                <c:pt idx="9">
                  <c:v>1199</c:v>
                </c:pt>
              </c:numCache>
            </c:numRef>
          </c:val>
          <c:extLst>
            <c:ext xmlns:c16="http://schemas.microsoft.com/office/drawing/2014/chart" uri="{C3380CC4-5D6E-409C-BE32-E72D297353CC}">
              <c16:uniqueId val="{00000005-444D-43C9-906B-EFDBC8FF20EB}"/>
            </c:ext>
          </c:extLst>
        </c:ser>
        <c:ser>
          <c:idx val="6"/>
          <c:order val="6"/>
          <c:tx>
            <c:strRef>
              <c:f>'Distribution HH Decile'!$A$40</c:f>
              <c:strCache>
                <c:ptCount val="1"/>
                <c:pt idx="0">
                  <c:v>Extended, without individuals under 25</c:v>
                </c:pt>
              </c:strCache>
            </c:strRef>
          </c:tx>
          <c:invertIfNegative val="0"/>
          <c:val>
            <c:numRef>
              <c:f>'Distribution HH Decile'!$B$40:$K$40</c:f>
              <c:numCache>
                <c:formatCode>0</c:formatCode>
                <c:ptCount val="10"/>
                <c:pt idx="0">
                  <c:v>3216</c:v>
                </c:pt>
                <c:pt idx="1">
                  <c:v>5134</c:v>
                </c:pt>
                <c:pt idx="2">
                  <c:v>7930</c:v>
                </c:pt>
                <c:pt idx="3">
                  <c:v>12559</c:v>
                </c:pt>
                <c:pt idx="4">
                  <c:v>14120</c:v>
                </c:pt>
                <c:pt idx="5">
                  <c:v>16765</c:v>
                </c:pt>
                <c:pt idx="6">
                  <c:v>21362</c:v>
                </c:pt>
                <c:pt idx="7">
                  <c:v>22727</c:v>
                </c:pt>
                <c:pt idx="8">
                  <c:v>21897</c:v>
                </c:pt>
                <c:pt idx="9">
                  <c:v>17387</c:v>
                </c:pt>
              </c:numCache>
            </c:numRef>
          </c:val>
          <c:extLst>
            <c:ext xmlns:c16="http://schemas.microsoft.com/office/drawing/2014/chart" uri="{C3380CC4-5D6E-409C-BE32-E72D297353CC}">
              <c16:uniqueId val="{00000006-444D-43C9-906B-EFDBC8FF20EB}"/>
            </c:ext>
          </c:extLst>
        </c:ser>
        <c:ser>
          <c:idx val="7"/>
          <c:order val="7"/>
          <c:tx>
            <c:strRef>
              <c:f>'Distribution HH Decile'!$A$41</c:f>
              <c:strCache>
                <c:ptCount val="1"/>
                <c:pt idx="0">
                  <c:v>Extended, with individuals under 25</c:v>
                </c:pt>
              </c:strCache>
            </c:strRef>
          </c:tx>
          <c:invertIfNegative val="0"/>
          <c:val>
            <c:numRef>
              <c:f>'Distribution HH Decile'!$B$41:$K$41</c:f>
              <c:numCache>
                <c:formatCode>0</c:formatCode>
                <c:ptCount val="10"/>
                <c:pt idx="0">
                  <c:v>11149</c:v>
                </c:pt>
                <c:pt idx="1">
                  <c:v>13411</c:v>
                </c:pt>
                <c:pt idx="2">
                  <c:v>14759</c:v>
                </c:pt>
                <c:pt idx="3">
                  <c:v>13807</c:v>
                </c:pt>
                <c:pt idx="4">
                  <c:v>13840</c:v>
                </c:pt>
                <c:pt idx="5">
                  <c:v>13345</c:v>
                </c:pt>
                <c:pt idx="6">
                  <c:v>9800</c:v>
                </c:pt>
                <c:pt idx="7">
                  <c:v>7895</c:v>
                </c:pt>
                <c:pt idx="8">
                  <c:v>7022</c:v>
                </c:pt>
                <c:pt idx="9">
                  <c:v>4972</c:v>
                </c:pt>
              </c:numCache>
            </c:numRef>
          </c:val>
          <c:extLst>
            <c:ext xmlns:c16="http://schemas.microsoft.com/office/drawing/2014/chart" uri="{C3380CC4-5D6E-409C-BE32-E72D297353CC}">
              <c16:uniqueId val="{00000007-444D-43C9-906B-EFDBC8FF20EB}"/>
            </c:ext>
          </c:extLst>
        </c:ser>
        <c:dLbls>
          <c:showLegendKey val="0"/>
          <c:showVal val="0"/>
          <c:showCatName val="0"/>
          <c:showSerName val="0"/>
          <c:showPercent val="0"/>
          <c:showBubbleSize val="0"/>
        </c:dLbls>
        <c:gapWidth val="150"/>
        <c:overlap val="100"/>
        <c:axId val="1956130495"/>
        <c:axId val="1"/>
      </c:barChart>
      <c:catAx>
        <c:axId val="195613049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
        <c:crosses val="autoZero"/>
        <c:auto val="1"/>
        <c:lblAlgn val="ctr"/>
        <c:lblOffset val="100"/>
        <c:noMultiLvlLbl val="0"/>
      </c:catAx>
      <c:valAx>
        <c:axId val="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ln w="6350">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56130495"/>
        <c:crosses val="autoZero"/>
        <c:crossBetween val="between"/>
      </c:valAx>
      <c:spPr>
        <a:noFill/>
        <a:ln w="25400">
          <a:noFill/>
        </a:ln>
      </c:spPr>
    </c:plotArea>
    <c:legend>
      <c:legendPos val="b"/>
      <c:overlay val="0"/>
      <c:spPr>
        <a:noFill/>
        <a:ln w="25400">
          <a:noFill/>
        </a:ln>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0.03833</cdr:x>
      <cdr:y>0.73052</cdr:y>
    </cdr:from>
    <cdr:to>
      <cdr:x>0.42271</cdr:x>
      <cdr:y>0.78386</cdr:y>
    </cdr:to>
    <cdr:sp macro="" textlink="">
      <cdr:nvSpPr>
        <cdr:cNvPr id="2" name="TextBox 1">
          <a:extLst xmlns:a="http://schemas.openxmlformats.org/drawingml/2006/main">
            <a:ext uri="{FF2B5EF4-FFF2-40B4-BE49-F238E27FC236}">
              <a16:creationId xmlns:a16="http://schemas.microsoft.com/office/drawing/2014/main" id="{07B1982E-6EBF-4B61-B3AC-1D768D1CA6B4}"/>
            </a:ext>
          </a:extLst>
        </cdr:cNvPr>
        <cdr:cNvSpPr txBox="1"/>
      </cdr:nvSpPr>
      <cdr:spPr>
        <a:xfrm xmlns:a="http://schemas.openxmlformats.org/drawingml/2006/main">
          <a:off x="174902" y="2553644"/>
          <a:ext cx="1753700" cy="186492"/>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r"/>
          <a:r>
            <a:rPr lang="en-US" sz="800" b="1">
              <a:solidFill>
                <a:schemeClr val="accent6">
                  <a:lumMod val="60000"/>
                  <a:lumOff val="40000"/>
                </a:schemeClr>
              </a:solidFill>
            </a:rPr>
            <a:t>Couple with individuals</a:t>
          </a:r>
          <a:r>
            <a:rPr lang="en-US" sz="800" b="1" baseline="0">
              <a:solidFill>
                <a:schemeClr val="accent6">
                  <a:lumMod val="60000"/>
                  <a:lumOff val="40000"/>
                </a:schemeClr>
              </a:solidFill>
            </a:rPr>
            <a:t> under 25</a:t>
          </a:r>
          <a:endParaRPr lang="en-US" sz="800" b="1">
            <a:solidFill>
              <a:schemeClr val="accent6">
                <a:lumMod val="60000"/>
                <a:lumOff val="40000"/>
              </a:schemeClr>
            </a:solidFill>
          </a:endParaRPr>
        </a:p>
      </cdr:txBody>
    </cdr:sp>
  </cdr:relSizeAnchor>
  <cdr:relSizeAnchor xmlns:cdr="http://schemas.openxmlformats.org/drawingml/2006/chartDrawing">
    <cdr:from>
      <cdr:x>0.02089</cdr:x>
      <cdr:y>0.52774</cdr:y>
    </cdr:from>
    <cdr:to>
      <cdr:x>0.42406</cdr:x>
      <cdr:y>0.58689</cdr:y>
    </cdr:to>
    <cdr:sp macro="" textlink="">
      <cdr:nvSpPr>
        <cdr:cNvPr id="3" name="TextBox 1">
          <a:extLst xmlns:a="http://schemas.openxmlformats.org/drawingml/2006/main">
            <a:ext uri="{FF2B5EF4-FFF2-40B4-BE49-F238E27FC236}">
              <a16:creationId xmlns:a16="http://schemas.microsoft.com/office/drawing/2014/main" id="{3AC52063-715F-46DE-89CC-18B6173CAA17}"/>
            </a:ext>
          </a:extLst>
        </cdr:cNvPr>
        <cdr:cNvSpPr txBox="1"/>
      </cdr:nvSpPr>
      <cdr:spPr>
        <a:xfrm xmlns:a="http://schemas.openxmlformats.org/drawingml/2006/main">
          <a:off x="95303" y="1844799"/>
          <a:ext cx="1839477" cy="206762"/>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r"/>
          <a:r>
            <a:rPr lang="en-US" sz="800" b="1">
              <a:solidFill>
                <a:schemeClr val="accent6">
                  <a:lumMod val="75000"/>
                </a:schemeClr>
              </a:solidFill>
            </a:rPr>
            <a:t>Couple without individuals</a:t>
          </a:r>
          <a:r>
            <a:rPr lang="en-US" sz="800" b="1" baseline="0">
              <a:solidFill>
                <a:schemeClr val="accent6">
                  <a:lumMod val="75000"/>
                </a:schemeClr>
              </a:solidFill>
            </a:rPr>
            <a:t> under 25</a:t>
          </a:r>
          <a:endParaRPr lang="en-US" sz="800" b="1">
            <a:solidFill>
              <a:schemeClr val="accent6">
                <a:lumMod val="75000"/>
              </a:schemeClr>
            </a:solidFill>
          </a:endParaRPr>
        </a:p>
      </cdr:txBody>
    </cdr:sp>
  </cdr:relSizeAnchor>
  <cdr:relSizeAnchor xmlns:cdr="http://schemas.openxmlformats.org/drawingml/2006/chartDrawing">
    <cdr:from>
      <cdr:x>0.01671</cdr:x>
      <cdr:y>0.4034</cdr:y>
    </cdr:from>
    <cdr:to>
      <cdr:x>0.42602</cdr:x>
      <cdr:y>0.44895</cdr:y>
    </cdr:to>
    <cdr:sp macro="" textlink="">
      <cdr:nvSpPr>
        <cdr:cNvPr id="4" name="TextBox 1">
          <a:extLst xmlns:a="http://schemas.openxmlformats.org/drawingml/2006/main">
            <a:ext uri="{FF2B5EF4-FFF2-40B4-BE49-F238E27FC236}">
              <a16:creationId xmlns:a16="http://schemas.microsoft.com/office/drawing/2014/main" id="{B4A36C00-874E-4CEF-8D5C-86DC34A19D09}"/>
            </a:ext>
          </a:extLst>
        </cdr:cNvPr>
        <cdr:cNvSpPr txBox="1"/>
      </cdr:nvSpPr>
      <cdr:spPr>
        <a:xfrm xmlns:a="http://schemas.openxmlformats.org/drawingml/2006/main">
          <a:off x="76227" y="1410149"/>
          <a:ext cx="1867495" cy="159231"/>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r"/>
          <a:r>
            <a:rPr lang="en-US" sz="800" b="1">
              <a:solidFill>
                <a:schemeClr val="accent4">
                  <a:lumMod val="75000"/>
                </a:schemeClr>
              </a:solidFill>
            </a:rPr>
            <a:t>Extended, without individuals</a:t>
          </a:r>
          <a:r>
            <a:rPr lang="en-US" sz="800" b="1" baseline="0">
              <a:solidFill>
                <a:schemeClr val="accent4">
                  <a:lumMod val="75000"/>
                </a:schemeClr>
              </a:solidFill>
            </a:rPr>
            <a:t> under 25</a:t>
          </a:r>
          <a:endParaRPr lang="en-US" sz="800" b="1">
            <a:solidFill>
              <a:schemeClr val="accent4">
                <a:lumMod val="75000"/>
              </a:schemeClr>
            </a:solidFill>
          </a:endParaRPr>
        </a:p>
      </cdr:txBody>
    </cdr:sp>
  </cdr:relSizeAnchor>
  <cdr:relSizeAnchor xmlns:cdr="http://schemas.openxmlformats.org/drawingml/2006/chartDrawing">
    <cdr:from>
      <cdr:x>0.10499</cdr:x>
      <cdr:y>0.30355</cdr:y>
    </cdr:from>
    <cdr:to>
      <cdr:x>0.42586</cdr:x>
      <cdr:y>0.35918</cdr:y>
    </cdr:to>
    <cdr:sp macro="" textlink="">
      <cdr:nvSpPr>
        <cdr:cNvPr id="5" name="TextBox 1">
          <a:extLst xmlns:a="http://schemas.openxmlformats.org/drawingml/2006/main">
            <a:ext uri="{FF2B5EF4-FFF2-40B4-BE49-F238E27FC236}">
              <a16:creationId xmlns:a16="http://schemas.microsoft.com/office/drawing/2014/main" id="{1D036650-6DF6-4074-BEEC-2DB61C2ACA20}"/>
            </a:ext>
          </a:extLst>
        </cdr:cNvPr>
        <cdr:cNvSpPr txBox="1"/>
      </cdr:nvSpPr>
      <cdr:spPr>
        <a:xfrm xmlns:a="http://schemas.openxmlformats.org/drawingml/2006/main">
          <a:off x="479010" y="1061107"/>
          <a:ext cx="1463961" cy="194464"/>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r"/>
          <a:r>
            <a:rPr lang="en-US" sz="800" b="1">
              <a:solidFill>
                <a:schemeClr val="accent2">
                  <a:lumMod val="75000"/>
                </a:schemeClr>
              </a:solidFill>
            </a:rPr>
            <a:t>Single-person</a:t>
          </a:r>
          <a:r>
            <a:rPr lang="en-US" sz="800" b="1">
              <a:solidFill>
                <a:schemeClr val="accent2"/>
              </a:solidFill>
            </a:rPr>
            <a:t> </a:t>
          </a:r>
          <a:r>
            <a:rPr lang="en-US" sz="800" b="1">
              <a:solidFill>
                <a:schemeClr val="accent2">
                  <a:lumMod val="75000"/>
                </a:schemeClr>
              </a:solidFill>
            </a:rPr>
            <a:t>female</a:t>
          </a:r>
        </a:p>
      </cdr:txBody>
    </cdr:sp>
  </cdr:relSizeAnchor>
  <cdr:relSizeAnchor xmlns:cdr="http://schemas.openxmlformats.org/drawingml/2006/chartDrawing">
    <cdr:from>
      <cdr:x>0.0475</cdr:x>
      <cdr:y>0.21957</cdr:y>
    </cdr:from>
    <cdr:to>
      <cdr:x>0.42409</cdr:x>
      <cdr:y>0.2782</cdr:y>
    </cdr:to>
    <cdr:sp macro="" textlink="">
      <cdr:nvSpPr>
        <cdr:cNvPr id="6" name="TextBox 1">
          <a:extLst xmlns:a="http://schemas.openxmlformats.org/drawingml/2006/main">
            <a:ext uri="{FF2B5EF4-FFF2-40B4-BE49-F238E27FC236}">
              <a16:creationId xmlns:a16="http://schemas.microsoft.com/office/drawing/2014/main" id="{745DB4F4-D63E-4393-B38F-D6F14F0B2307}"/>
            </a:ext>
          </a:extLst>
        </cdr:cNvPr>
        <cdr:cNvSpPr txBox="1"/>
      </cdr:nvSpPr>
      <cdr:spPr>
        <a:xfrm xmlns:a="http://schemas.openxmlformats.org/drawingml/2006/main">
          <a:off x="216883" y="767561"/>
          <a:ext cx="1719365" cy="204948"/>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r"/>
          <a:r>
            <a:rPr lang="en-US" sz="800" b="1">
              <a:solidFill>
                <a:schemeClr val="accent4"/>
              </a:solidFill>
            </a:rPr>
            <a:t>Extended, with individuals under 25</a:t>
          </a:r>
        </a:p>
      </cdr:txBody>
    </cdr:sp>
  </cdr:relSizeAnchor>
  <cdr:relSizeAnchor xmlns:cdr="http://schemas.openxmlformats.org/drawingml/2006/chartDrawing">
    <cdr:from>
      <cdr:x>0.0697</cdr:x>
      <cdr:y>0.1367</cdr:y>
    </cdr:from>
    <cdr:to>
      <cdr:x>0.42612</cdr:x>
      <cdr:y>0.19531</cdr:y>
    </cdr:to>
    <cdr:sp macro="" textlink="">
      <cdr:nvSpPr>
        <cdr:cNvPr id="7" name="TextBox 1">
          <a:extLst xmlns:a="http://schemas.openxmlformats.org/drawingml/2006/main">
            <a:ext uri="{FF2B5EF4-FFF2-40B4-BE49-F238E27FC236}">
              <a16:creationId xmlns:a16="http://schemas.microsoft.com/office/drawing/2014/main" id="{FC4B2284-575B-4C9F-95CA-AAA285C23970}"/>
            </a:ext>
          </a:extLst>
        </cdr:cNvPr>
        <cdr:cNvSpPr txBox="1"/>
      </cdr:nvSpPr>
      <cdr:spPr>
        <a:xfrm xmlns:a="http://schemas.openxmlformats.org/drawingml/2006/main">
          <a:off x="318221" y="477853"/>
          <a:ext cx="1627296" cy="204889"/>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r"/>
          <a:r>
            <a:rPr lang="en-US" sz="800" b="1">
              <a:solidFill>
                <a:schemeClr val="accent1">
                  <a:lumMod val="75000"/>
                </a:schemeClr>
              </a:solidFill>
            </a:rPr>
            <a:t>Single-person male</a:t>
          </a:r>
        </a:p>
      </cdr:txBody>
    </cdr:sp>
  </cdr:relSizeAnchor>
  <cdr:relSizeAnchor xmlns:cdr="http://schemas.openxmlformats.org/drawingml/2006/chartDrawing">
    <cdr:from>
      <cdr:x>0.00835</cdr:x>
      <cdr:y>0.0627</cdr:y>
    </cdr:from>
    <cdr:to>
      <cdr:x>0.42408</cdr:x>
      <cdr:y>0.12361</cdr:y>
    </cdr:to>
    <cdr:sp macro="" textlink="">
      <cdr:nvSpPr>
        <cdr:cNvPr id="8" name="TextBox 1">
          <a:extLst xmlns:a="http://schemas.openxmlformats.org/drawingml/2006/main">
            <a:ext uri="{FF2B5EF4-FFF2-40B4-BE49-F238E27FC236}">
              <a16:creationId xmlns:a16="http://schemas.microsoft.com/office/drawing/2014/main" id="{8E64F8FC-D622-4B27-B60C-9BEBC2131DF6}"/>
            </a:ext>
          </a:extLst>
        </cdr:cNvPr>
        <cdr:cNvSpPr txBox="1"/>
      </cdr:nvSpPr>
      <cdr:spPr>
        <a:xfrm xmlns:a="http://schemas.openxmlformats.org/drawingml/2006/main">
          <a:off x="38017" y="199464"/>
          <a:ext cx="1892798" cy="193776"/>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r"/>
          <a:r>
            <a:rPr lang="en-US" sz="800" b="1">
              <a:solidFill>
                <a:schemeClr val="accent2">
                  <a:lumMod val="60000"/>
                  <a:lumOff val="40000"/>
                </a:schemeClr>
              </a:solidFill>
            </a:rPr>
            <a:t>Single-woman with individuals under 25</a:t>
          </a:r>
        </a:p>
      </cdr:txBody>
    </cdr:sp>
  </cdr:relSizeAnchor>
  <cdr:relSizeAnchor xmlns:cdr="http://schemas.openxmlformats.org/drawingml/2006/chartDrawing">
    <cdr:from>
      <cdr:x>0.03609</cdr:x>
      <cdr:y>0.01311</cdr:y>
    </cdr:from>
    <cdr:to>
      <cdr:x>0.42409</cdr:x>
      <cdr:y>0.06704</cdr:y>
    </cdr:to>
    <cdr:sp macro="" textlink="">
      <cdr:nvSpPr>
        <cdr:cNvPr id="9" name="TextBox 1">
          <a:extLst xmlns:a="http://schemas.openxmlformats.org/drawingml/2006/main">
            <a:ext uri="{FF2B5EF4-FFF2-40B4-BE49-F238E27FC236}">
              <a16:creationId xmlns:a16="http://schemas.microsoft.com/office/drawing/2014/main" id="{CFC42FFF-59F1-4C67-BBA3-361901D74E62}"/>
            </a:ext>
          </a:extLst>
        </cdr:cNvPr>
        <cdr:cNvSpPr txBox="1"/>
      </cdr:nvSpPr>
      <cdr:spPr>
        <a:xfrm xmlns:a="http://schemas.openxmlformats.org/drawingml/2006/main">
          <a:off x="164764" y="45818"/>
          <a:ext cx="1771464" cy="188542"/>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r"/>
          <a:r>
            <a:rPr lang="en-US" sz="800" b="1">
              <a:solidFill>
                <a:schemeClr val="accent1">
                  <a:lumMod val="60000"/>
                  <a:lumOff val="40000"/>
                </a:schemeClr>
              </a:solidFill>
            </a:rPr>
            <a:t>Single-man with individuals under 25</a:t>
          </a:r>
        </a:p>
      </cdr:txBody>
    </cdr:sp>
  </cdr:relSizeAnchor>
  <cdr:relSizeAnchor xmlns:cdr="http://schemas.openxmlformats.org/drawingml/2006/chartDrawing">
    <cdr:from>
      <cdr:x>0.39248</cdr:x>
      <cdr:y>0.92734</cdr:y>
    </cdr:from>
    <cdr:to>
      <cdr:x>0.64603</cdr:x>
      <cdr:y>0.98638</cdr:y>
    </cdr:to>
    <cdr:sp macro="" textlink="">
      <cdr:nvSpPr>
        <cdr:cNvPr id="10" name="TextBox 1">
          <a:extLst xmlns:a="http://schemas.openxmlformats.org/drawingml/2006/main">
            <a:ext uri="{FF2B5EF4-FFF2-40B4-BE49-F238E27FC236}">
              <a16:creationId xmlns:a16="http://schemas.microsoft.com/office/drawing/2014/main" id="{8D4F9769-A4A7-43A1-BFA7-0B3CE867FFDD}"/>
            </a:ext>
          </a:extLst>
        </cdr:cNvPr>
        <cdr:cNvSpPr txBox="1"/>
      </cdr:nvSpPr>
      <cdr:spPr>
        <a:xfrm xmlns:a="http://schemas.openxmlformats.org/drawingml/2006/main">
          <a:off x="1790700" y="3241675"/>
          <a:ext cx="1156800" cy="206376"/>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b="1">
              <a:solidFill>
                <a:sysClr val="windowText" lastClr="000000"/>
              </a:solidFill>
            </a:rPr>
            <a:t>% of total households</a:t>
          </a:r>
        </a:p>
      </cdr:txBody>
    </cdr:sp>
  </cdr:relSizeAnchor>
  <cdr:relSizeAnchor xmlns:cdr="http://schemas.openxmlformats.org/drawingml/2006/chartDrawing">
    <cdr:from>
      <cdr:x>0.66458</cdr:x>
      <cdr:y>0.92734</cdr:y>
    </cdr:from>
    <cdr:to>
      <cdr:x>0.91813</cdr:x>
      <cdr:y>0.98638</cdr:y>
    </cdr:to>
    <cdr:sp macro="" textlink="">
      <cdr:nvSpPr>
        <cdr:cNvPr id="11" name="TextBox 1">
          <a:extLst xmlns:a="http://schemas.openxmlformats.org/drawingml/2006/main">
            <a:ext uri="{FF2B5EF4-FFF2-40B4-BE49-F238E27FC236}">
              <a16:creationId xmlns:a16="http://schemas.microsoft.com/office/drawing/2014/main" id="{01200E03-591E-42F9-988C-8AE4210441C9}"/>
            </a:ext>
          </a:extLst>
        </cdr:cNvPr>
        <cdr:cNvSpPr txBox="1"/>
      </cdr:nvSpPr>
      <cdr:spPr>
        <a:xfrm xmlns:a="http://schemas.openxmlformats.org/drawingml/2006/main">
          <a:off x="3032125" y="3241675"/>
          <a:ext cx="1156800" cy="206376"/>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b="1">
              <a:solidFill>
                <a:sysClr val="windowText" lastClr="000000"/>
              </a:solidFill>
            </a:rPr>
            <a:t>% of poor households</a:t>
          </a:r>
        </a:p>
      </cdr:txBody>
    </cdr:sp>
  </cdr:relSizeAnchor>
</c:userShapes>
</file>

<file path=word/drawings/drawing2.xml><?xml version="1.0" encoding="utf-8"?>
<c:userShapes xmlns:c="http://schemas.openxmlformats.org/drawingml/2006/chart">
  <cdr:relSizeAnchor xmlns:cdr="http://schemas.openxmlformats.org/drawingml/2006/chartDrawing">
    <cdr:from>
      <cdr:x>0.04042</cdr:x>
      <cdr:y>0.76594</cdr:y>
    </cdr:from>
    <cdr:to>
      <cdr:x>0.4248</cdr:x>
      <cdr:y>0.81928</cdr:y>
    </cdr:to>
    <cdr:sp macro="" textlink="">
      <cdr:nvSpPr>
        <cdr:cNvPr id="2" name="TextBox 1">
          <a:extLst xmlns:a="http://schemas.openxmlformats.org/drawingml/2006/main">
            <a:ext uri="{FF2B5EF4-FFF2-40B4-BE49-F238E27FC236}">
              <a16:creationId xmlns:a16="http://schemas.microsoft.com/office/drawing/2014/main" id="{07B1982E-6EBF-4B61-B3AC-1D768D1CA6B4}"/>
            </a:ext>
          </a:extLst>
        </cdr:cNvPr>
        <cdr:cNvSpPr txBox="1"/>
      </cdr:nvSpPr>
      <cdr:spPr>
        <a:xfrm xmlns:a="http://schemas.openxmlformats.org/drawingml/2006/main">
          <a:off x="184283" y="2677486"/>
          <a:ext cx="1752504" cy="18646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r"/>
          <a:r>
            <a:rPr lang="en-US" sz="800" b="1">
              <a:solidFill>
                <a:schemeClr val="accent1">
                  <a:lumMod val="75000"/>
                </a:schemeClr>
              </a:solidFill>
            </a:rPr>
            <a:t>Only male earners</a:t>
          </a:r>
        </a:p>
      </cdr:txBody>
    </cdr:sp>
  </cdr:relSizeAnchor>
  <cdr:relSizeAnchor xmlns:cdr="http://schemas.openxmlformats.org/drawingml/2006/chartDrawing">
    <cdr:from>
      <cdr:x>0.02089</cdr:x>
      <cdr:y>0.56044</cdr:y>
    </cdr:from>
    <cdr:to>
      <cdr:x>0.42406</cdr:x>
      <cdr:y>0.61959</cdr:y>
    </cdr:to>
    <cdr:sp macro="" textlink="">
      <cdr:nvSpPr>
        <cdr:cNvPr id="3" name="TextBox 1">
          <a:extLst xmlns:a="http://schemas.openxmlformats.org/drawingml/2006/main">
            <a:ext uri="{FF2B5EF4-FFF2-40B4-BE49-F238E27FC236}">
              <a16:creationId xmlns:a16="http://schemas.microsoft.com/office/drawing/2014/main" id="{3AC52063-715F-46DE-89CC-18B6173CAA17}"/>
            </a:ext>
          </a:extLst>
        </cdr:cNvPr>
        <cdr:cNvSpPr txBox="1"/>
      </cdr:nvSpPr>
      <cdr:spPr>
        <a:xfrm xmlns:a="http://schemas.openxmlformats.org/drawingml/2006/main">
          <a:off x="95244" y="1959108"/>
          <a:ext cx="1838173" cy="206769"/>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r"/>
          <a:r>
            <a:rPr lang="en-US" sz="800" b="1">
              <a:solidFill>
                <a:schemeClr val="accent3"/>
              </a:solidFill>
            </a:rPr>
            <a:t>Non-earners</a:t>
          </a:r>
        </a:p>
      </cdr:txBody>
    </cdr:sp>
  </cdr:relSizeAnchor>
  <cdr:relSizeAnchor xmlns:cdr="http://schemas.openxmlformats.org/drawingml/2006/chartDrawing">
    <cdr:from>
      <cdr:x>0.01671</cdr:x>
      <cdr:y>0.37888</cdr:y>
    </cdr:from>
    <cdr:to>
      <cdr:x>0.42602</cdr:x>
      <cdr:y>0.42443</cdr:y>
    </cdr:to>
    <cdr:sp macro="" textlink="">
      <cdr:nvSpPr>
        <cdr:cNvPr id="4" name="TextBox 1">
          <a:extLst xmlns:a="http://schemas.openxmlformats.org/drawingml/2006/main">
            <a:ext uri="{FF2B5EF4-FFF2-40B4-BE49-F238E27FC236}">
              <a16:creationId xmlns:a16="http://schemas.microsoft.com/office/drawing/2014/main" id="{B4A36C00-874E-4CEF-8D5C-86DC34A19D09}"/>
            </a:ext>
          </a:extLst>
        </cdr:cNvPr>
        <cdr:cNvSpPr txBox="1"/>
      </cdr:nvSpPr>
      <cdr:spPr>
        <a:xfrm xmlns:a="http://schemas.openxmlformats.org/drawingml/2006/main">
          <a:off x="76186" y="1324431"/>
          <a:ext cx="1866167" cy="159228"/>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r"/>
          <a:r>
            <a:rPr lang="en-US" sz="800" b="1">
              <a:solidFill>
                <a:schemeClr val="accent1">
                  <a:lumMod val="60000"/>
                  <a:lumOff val="40000"/>
                </a:schemeClr>
              </a:solidFill>
            </a:rPr>
            <a:t>Dual-earners, male dominated</a:t>
          </a:r>
        </a:p>
      </cdr:txBody>
    </cdr:sp>
  </cdr:relSizeAnchor>
  <cdr:relSizeAnchor xmlns:cdr="http://schemas.openxmlformats.org/drawingml/2006/chartDrawing">
    <cdr:from>
      <cdr:x>0.0475</cdr:x>
      <cdr:y>0.21957</cdr:y>
    </cdr:from>
    <cdr:to>
      <cdr:x>0.42409</cdr:x>
      <cdr:y>0.2782</cdr:y>
    </cdr:to>
    <cdr:sp macro="" textlink="">
      <cdr:nvSpPr>
        <cdr:cNvPr id="6" name="TextBox 1">
          <a:extLst xmlns:a="http://schemas.openxmlformats.org/drawingml/2006/main">
            <a:ext uri="{FF2B5EF4-FFF2-40B4-BE49-F238E27FC236}">
              <a16:creationId xmlns:a16="http://schemas.microsoft.com/office/drawing/2014/main" id="{745DB4F4-D63E-4393-B38F-D6F14F0B2307}"/>
            </a:ext>
          </a:extLst>
        </cdr:cNvPr>
        <cdr:cNvSpPr txBox="1"/>
      </cdr:nvSpPr>
      <cdr:spPr>
        <a:xfrm xmlns:a="http://schemas.openxmlformats.org/drawingml/2006/main">
          <a:off x="216883" y="767561"/>
          <a:ext cx="1719365" cy="204948"/>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r"/>
          <a:r>
            <a:rPr lang="en-US" sz="800" b="1">
              <a:solidFill>
                <a:schemeClr val="accent2"/>
              </a:solidFill>
            </a:rPr>
            <a:t>Only female</a:t>
          </a:r>
          <a:r>
            <a:rPr lang="en-US" sz="800" b="1" baseline="0">
              <a:solidFill>
                <a:schemeClr val="accent2"/>
              </a:solidFill>
            </a:rPr>
            <a:t> earners</a:t>
          </a:r>
          <a:endParaRPr lang="en-US" sz="800" b="1">
            <a:solidFill>
              <a:schemeClr val="accent2"/>
            </a:solidFill>
          </a:endParaRPr>
        </a:p>
      </cdr:txBody>
    </cdr:sp>
  </cdr:relSizeAnchor>
  <cdr:relSizeAnchor xmlns:cdr="http://schemas.openxmlformats.org/drawingml/2006/chartDrawing">
    <cdr:from>
      <cdr:x>0.07179</cdr:x>
      <cdr:y>0.11218</cdr:y>
    </cdr:from>
    <cdr:to>
      <cdr:x>0.42821</cdr:x>
      <cdr:y>0.17079</cdr:y>
    </cdr:to>
    <cdr:sp macro="" textlink="">
      <cdr:nvSpPr>
        <cdr:cNvPr id="7" name="TextBox 1">
          <a:extLst xmlns:a="http://schemas.openxmlformats.org/drawingml/2006/main">
            <a:ext uri="{FF2B5EF4-FFF2-40B4-BE49-F238E27FC236}">
              <a16:creationId xmlns:a16="http://schemas.microsoft.com/office/drawing/2014/main" id="{FC4B2284-575B-4C9F-95CA-AAA285C23970}"/>
            </a:ext>
          </a:extLst>
        </cdr:cNvPr>
        <cdr:cNvSpPr txBox="1"/>
      </cdr:nvSpPr>
      <cdr:spPr>
        <a:xfrm xmlns:a="http://schemas.openxmlformats.org/drawingml/2006/main">
          <a:off x="327308" y="392134"/>
          <a:ext cx="1625026" cy="204881"/>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r"/>
          <a:r>
            <a:rPr lang="en-US" sz="800" b="1">
              <a:solidFill>
                <a:schemeClr val="accent2">
                  <a:lumMod val="60000"/>
                  <a:lumOff val="40000"/>
                </a:schemeClr>
              </a:solidFill>
            </a:rPr>
            <a:t>Dual-earners, female dominated</a:t>
          </a:r>
        </a:p>
      </cdr:txBody>
    </cdr:sp>
  </cdr:relSizeAnchor>
  <cdr:relSizeAnchor xmlns:cdr="http://schemas.openxmlformats.org/drawingml/2006/chartDrawing">
    <cdr:from>
      <cdr:x>0.04236</cdr:x>
      <cdr:y>0.04036</cdr:y>
    </cdr:from>
    <cdr:to>
      <cdr:x>0.43036</cdr:x>
      <cdr:y>0.09429</cdr:y>
    </cdr:to>
    <cdr:sp macro="" textlink="">
      <cdr:nvSpPr>
        <cdr:cNvPr id="9" name="TextBox 1">
          <a:extLst xmlns:a="http://schemas.openxmlformats.org/drawingml/2006/main">
            <a:ext uri="{FF2B5EF4-FFF2-40B4-BE49-F238E27FC236}">
              <a16:creationId xmlns:a16="http://schemas.microsoft.com/office/drawing/2014/main" id="{CFC42FFF-59F1-4C67-BBA3-361901D74E62}"/>
            </a:ext>
          </a:extLst>
        </cdr:cNvPr>
        <cdr:cNvSpPr txBox="1"/>
      </cdr:nvSpPr>
      <cdr:spPr>
        <a:xfrm xmlns:a="http://schemas.openxmlformats.org/drawingml/2006/main">
          <a:off x="193120" y="141078"/>
          <a:ext cx="1769009" cy="188522"/>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r"/>
          <a:r>
            <a:rPr lang="en-US" sz="800" b="1">
              <a:solidFill>
                <a:schemeClr val="accent6"/>
              </a:solidFill>
            </a:rPr>
            <a:t>Dual-earners, equal</a:t>
          </a:r>
        </a:p>
      </cdr:txBody>
    </cdr:sp>
  </cdr:relSizeAnchor>
  <cdr:relSizeAnchor xmlns:cdr="http://schemas.openxmlformats.org/drawingml/2006/chartDrawing">
    <cdr:from>
      <cdr:x>0.39248</cdr:x>
      <cdr:y>0.92734</cdr:y>
    </cdr:from>
    <cdr:to>
      <cdr:x>0.64603</cdr:x>
      <cdr:y>0.98638</cdr:y>
    </cdr:to>
    <cdr:sp macro="" textlink="">
      <cdr:nvSpPr>
        <cdr:cNvPr id="10" name="TextBox 1">
          <a:extLst xmlns:a="http://schemas.openxmlformats.org/drawingml/2006/main">
            <a:ext uri="{FF2B5EF4-FFF2-40B4-BE49-F238E27FC236}">
              <a16:creationId xmlns:a16="http://schemas.microsoft.com/office/drawing/2014/main" id="{8D4F9769-A4A7-43A1-BFA7-0B3CE867FFDD}"/>
            </a:ext>
          </a:extLst>
        </cdr:cNvPr>
        <cdr:cNvSpPr txBox="1"/>
      </cdr:nvSpPr>
      <cdr:spPr>
        <a:xfrm xmlns:a="http://schemas.openxmlformats.org/drawingml/2006/main">
          <a:off x="1790700" y="3241675"/>
          <a:ext cx="1156800" cy="206376"/>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b="1">
              <a:solidFill>
                <a:sysClr val="windowText" lastClr="000000"/>
              </a:solidFill>
            </a:rPr>
            <a:t>% of total households</a:t>
          </a:r>
        </a:p>
      </cdr:txBody>
    </cdr:sp>
  </cdr:relSizeAnchor>
  <cdr:relSizeAnchor xmlns:cdr="http://schemas.openxmlformats.org/drawingml/2006/chartDrawing">
    <cdr:from>
      <cdr:x>0.66458</cdr:x>
      <cdr:y>0.92734</cdr:y>
    </cdr:from>
    <cdr:to>
      <cdr:x>0.91813</cdr:x>
      <cdr:y>0.98638</cdr:y>
    </cdr:to>
    <cdr:sp macro="" textlink="">
      <cdr:nvSpPr>
        <cdr:cNvPr id="11" name="TextBox 1">
          <a:extLst xmlns:a="http://schemas.openxmlformats.org/drawingml/2006/main">
            <a:ext uri="{FF2B5EF4-FFF2-40B4-BE49-F238E27FC236}">
              <a16:creationId xmlns:a16="http://schemas.microsoft.com/office/drawing/2014/main" id="{01200E03-591E-42F9-988C-8AE4210441C9}"/>
            </a:ext>
          </a:extLst>
        </cdr:cNvPr>
        <cdr:cNvSpPr txBox="1"/>
      </cdr:nvSpPr>
      <cdr:spPr>
        <a:xfrm xmlns:a="http://schemas.openxmlformats.org/drawingml/2006/main">
          <a:off x="3032125" y="3241675"/>
          <a:ext cx="1156800" cy="206376"/>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b="1">
              <a:solidFill>
                <a:sysClr val="windowText" lastClr="000000"/>
              </a:solidFill>
            </a:rPr>
            <a:t>% of poor households</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87EA3DE823DC489E44BF4CD2C2AF9F" ma:contentTypeVersion="14" ma:contentTypeDescription="Create a new document." ma:contentTypeScope="" ma:versionID="d4249c05ec5ca2aec847ed047824ef8b">
  <xsd:schema xmlns:xsd="http://www.w3.org/2001/XMLSchema" xmlns:xs="http://www.w3.org/2001/XMLSchema" xmlns:p="http://schemas.microsoft.com/office/2006/metadata/properties" xmlns:ns3="543abfbf-1b39-4535-8b1b-c72a4cdaa484" xmlns:ns4="2834bc84-a818-4cb9-8b4d-5179cfe104eb" targetNamespace="http://schemas.microsoft.com/office/2006/metadata/properties" ma:root="true" ma:fieldsID="7e33fbbcc6511c837127ee1ba8394545" ns3:_="" ns4:_="">
    <xsd:import namespace="543abfbf-1b39-4535-8b1b-c72a4cdaa484"/>
    <xsd:import namespace="2834bc84-a818-4cb9-8b4d-5179cfe104e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EventHashCode" minOccurs="0"/>
                <xsd:element ref="ns4:MediaServiceGenerationTim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3abfbf-1b39-4535-8b1b-c72a4cdaa48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34bc84-a818-4cb9-8b4d-5179cfe104eb"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CC344-E815-480D-AA53-50A8F08850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9F1B5E-AB9B-407B-8FC1-F2003D05DF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3abfbf-1b39-4535-8b1b-c72a4cdaa484"/>
    <ds:schemaRef ds:uri="2834bc84-a818-4cb9-8b4d-5179cfe104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328AB2-F10E-4AFC-BD2B-9F649D76E3DB}">
  <ds:schemaRefs>
    <ds:schemaRef ds:uri="http://schemas.microsoft.com/sharepoint/v3/contenttype/forms"/>
  </ds:schemaRefs>
</ds:datastoreItem>
</file>

<file path=customXml/itemProps4.xml><?xml version="1.0" encoding="utf-8"?>
<ds:datastoreItem xmlns:ds="http://schemas.openxmlformats.org/officeDocument/2006/customXml" ds:itemID="{9BE93EE5-3238-4D44-A610-D7E54B6D1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29</Pages>
  <Words>8105</Words>
  <Characters>45961</Characters>
  <Application>Microsoft Office Word</Application>
  <DocSecurity>0</DocSecurity>
  <Lines>1276</Lines>
  <Paragraphs>482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Lourdes Rodriguez Chamussy</dc:creator>
  <cp:keywords/>
  <dc:description/>
  <cp:lastModifiedBy>Yeon Soo Kim</cp:lastModifiedBy>
  <cp:revision>7</cp:revision>
  <dcterms:created xsi:type="dcterms:W3CDTF">2023-08-07T15:03:00Z</dcterms:created>
  <dcterms:modified xsi:type="dcterms:W3CDTF">2026-02-25T08:25:00Z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0x0101007787EA3DE823DC489E44BF4CD2C2AF9F</vt:lpwstr>
  </property>
  <property fmtid="{D5CDD505-2E9C-101B-9397-08002B2CF9AE}" pid="3" name="GrammarlyDocumentId">
    <vt:lpwstr>99adc38c43621226b9fcc86d08e6674da7e9dfeba169336a9513354960dd12b4</vt:lpwstr>
  </property>
  <property fmtid="{D5CDD505-2E9C-101B-9397-08002B2CF9AE}" pid="4" name="MSIP_Label_48e3fdf0-05a2-4411-bba7-a0945bfb4a0a_Enabled">
    <vt:lpwstr>true</vt:lpwstr>
  </property>
  <property fmtid="{D5CDD505-2E9C-101B-9397-08002B2CF9AE}" pid="5" name="MSIP_Label_48e3fdf0-05a2-4411-bba7-a0945bfb4a0a_SetDate">
    <vt:lpwstr>2023-08-18T00:47:14Z</vt:lpwstr>
  </property>
  <property fmtid="{D5CDD505-2E9C-101B-9397-08002B2CF9AE}" pid="6" name="MSIP_Label_48e3fdf0-05a2-4411-bba7-a0945bfb4a0a_Method">
    <vt:lpwstr>Privileged</vt:lpwstr>
  </property>
  <property fmtid="{D5CDD505-2E9C-101B-9397-08002B2CF9AE}" pid="7" name="MSIP_Label_48e3fdf0-05a2-4411-bba7-a0945bfb4a0a_Name">
    <vt:lpwstr>Label Only - Official Use</vt:lpwstr>
  </property>
  <property fmtid="{D5CDD505-2E9C-101B-9397-08002B2CF9AE}" pid="8" name="MSIP_Label_48e3fdf0-05a2-4411-bba7-a0945bfb4a0a_SiteId">
    <vt:lpwstr>31a2fec0-266b-4c67-b56e-2796d8f59c36</vt:lpwstr>
  </property>
  <property fmtid="{D5CDD505-2E9C-101B-9397-08002B2CF9AE}" pid="9" name="MSIP_Label_48e3fdf0-05a2-4411-bba7-a0945bfb4a0a_ActionId">
    <vt:lpwstr>9715eb82-5451-4464-9e95-4a44f32f723e</vt:lpwstr>
  </property>
  <property fmtid="{D5CDD505-2E9C-101B-9397-08002B2CF9AE}" pid="10" name="MSIP_Label_48e3fdf0-05a2-4411-bba7-a0945bfb4a0a_ContentBits">
    <vt:lpwstr>2</vt:lpwstr>
  </property>
</Properties>
</file>